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560" w:lineRule="exact"/>
        <w:ind w:firstLine="880" w:firstLineChars="200"/>
        <w:jc w:val="center"/>
        <w:rPr>
          <w:rFonts w:hint="eastAsia" w:ascii="方正小标宋简体" w:eastAsia="方正小标宋简体"/>
          <w:color w:val="auto"/>
          <w:sz w:val="44"/>
          <w:szCs w:val="44"/>
          <w:shd w:val="clear" w:color="auto" w:fill="auto"/>
        </w:rPr>
      </w:pPr>
    </w:p>
    <w:p>
      <w:pPr>
        <w:pageBreakBefore w:val="0"/>
        <w:kinsoku/>
        <w:wordWrap/>
        <w:overflowPunct/>
        <w:topLinePunct w:val="0"/>
        <w:bidi w:val="0"/>
        <w:spacing w:line="560" w:lineRule="exact"/>
        <w:ind w:firstLine="880" w:firstLineChars="200"/>
        <w:jc w:val="center"/>
        <w:rPr>
          <w:rFonts w:hint="eastAsia" w:ascii="方正小标宋简体" w:eastAsia="方正小标宋简体"/>
          <w:color w:val="auto"/>
          <w:sz w:val="44"/>
          <w:szCs w:val="44"/>
          <w:shd w:val="clear" w:color="auto" w:fill="auto"/>
        </w:rPr>
      </w:pPr>
    </w:p>
    <w:p>
      <w:pPr>
        <w:pageBreakBefore w:val="0"/>
        <w:kinsoku/>
        <w:wordWrap/>
        <w:overflowPunct/>
        <w:topLinePunct w:val="0"/>
        <w:bidi w:val="0"/>
        <w:spacing w:line="560" w:lineRule="exact"/>
        <w:ind w:firstLine="880" w:firstLineChars="200"/>
        <w:jc w:val="center"/>
        <w:rPr>
          <w:rFonts w:hint="eastAsia" w:ascii="方正小标宋简体" w:eastAsia="方正小标宋简体"/>
          <w:color w:val="auto"/>
          <w:sz w:val="44"/>
          <w:szCs w:val="44"/>
          <w:shd w:val="clear" w:color="auto" w:fill="auto"/>
        </w:rPr>
      </w:pPr>
    </w:p>
    <w:p>
      <w:pPr>
        <w:bidi w:val="0"/>
        <w:jc w:val="center"/>
        <w:rPr>
          <w:rFonts w:hint="eastAsia"/>
          <w:color w:val="auto"/>
          <w:sz w:val="48"/>
          <w:szCs w:val="48"/>
          <w:shd w:val="clear" w:color="auto" w:fill="auto"/>
          <w:lang w:val="en-US" w:eastAsia="zh-CN"/>
        </w:rPr>
      </w:pPr>
      <w:r>
        <w:rPr>
          <w:rFonts w:hint="eastAsia"/>
          <w:b/>
          <w:bCs/>
          <w:color w:val="auto"/>
          <w:sz w:val="48"/>
          <w:szCs w:val="48"/>
          <w:shd w:val="clear" w:color="auto" w:fill="auto"/>
          <w:lang w:eastAsia="zh-CN"/>
        </w:rPr>
        <w:t>湘西自治州</w:t>
      </w:r>
      <w:r>
        <w:rPr>
          <w:rFonts w:hint="eastAsia"/>
          <w:b/>
          <w:bCs/>
          <w:color w:val="auto"/>
          <w:sz w:val="48"/>
          <w:szCs w:val="48"/>
          <w:shd w:val="clear" w:color="auto" w:fill="auto"/>
        </w:rPr>
        <w:t>城镇规划管理技术规定</w:t>
      </w:r>
      <w:r>
        <w:rPr>
          <w:rFonts w:hint="eastAsia"/>
          <w:color w:val="auto"/>
          <w:sz w:val="48"/>
          <w:szCs w:val="48"/>
          <w:shd w:val="clear" w:color="auto" w:fill="auto"/>
          <w:lang w:val="en-US" w:eastAsia="zh-CN"/>
        </w:rPr>
        <w:t>（修订版）</w:t>
      </w:r>
    </w:p>
    <w:p>
      <w:pPr>
        <w:pStyle w:val="18"/>
        <w:rPr>
          <w:rFonts w:hint="eastAsia"/>
          <w:color w:val="auto"/>
          <w:shd w:val="clear" w:color="auto" w:fill="auto"/>
          <w:lang w:val="en-US" w:eastAsia="zh-CN"/>
        </w:rPr>
      </w:pPr>
    </w:p>
    <w:p>
      <w:pPr>
        <w:bidi w:val="0"/>
        <w:jc w:val="center"/>
        <w:rPr>
          <w:rFonts w:hint="default"/>
          <w:color w:val="auto"/>
          <w:sz w:val="48"/>
          <w:szCs w:val="48"/>
          <w:shd w:val="clear" w:color="auto" w:fill="auto"/>
          <w:lang w:val="en-US" w:eastAsia="zh-CN"/>
        </w:rPr>
      </w:pPr>
      <w:r>
        <w:rPr>
          <w:rFonts w:hint="eastAsia"/>
          <w:color w:val="auto"/>
          <w:sz w:val="48"/>
          <w:szCs w:val="48"/>
          <w:shd w:val="clear" w:color="auto" w:fill="auto"/>
          <w:lang w:val="en-US" w:eastAsia="zh-CN"/>
        </w:rPr>
        <w:t>（试行）</w:t>
      </w:r>
    </w:p>
    <w:p>
      <w:pPr>
        <w:pStyle w:val="11"/>
        <w:keepNext w:val="0"/>
        <w:keepLines w:val="0"/>
        <w:pageBreakBefore w:val="0"/>
        <w:widowControl/>
        <w:suppressLineNumbers w:val="0"/>
        <w:shd w:val="clear" w:fill="FFFFFF"/>
        <w:kinsoku/>
        <w:wordWrap/>
        <w:overflowPunct/>
        <w:topLinePunct w:val="0"/>
        <w:bidi w:val="0"/>
        <w:spacing w:before="0" w:beforeAutospacing="0" w:after="0" w:afterAutospacing="0" w:line="555" w:lineRule="atLeast"/>
        <w:ind w:left="0" w:right="0" w:firstLine="880" w:firstLineChars="200"/>
        <w:jc w:val="center"/>
        <w:rPr>
          <w:rFonts w:hint="eastAsia" w:ascii="方正小标宋简体" w:eastAsia="方正小标宋简体" w:hAnsiTheme="minorHAnsi" w:cstheme="minorBidi"/>
          <w:color w:val="auto"/>
          <w:kern w:val="2"/>
          <w:sz w:val="44"/>
          <w:szCs w:val="44"/>
          <w:shd w:val="clear" w:color="auto" w:fill="auto"/>
          <w:lang w:val="en-US" w:eastAsia="zh-CN" w:bidi="ar-SA"/>
        </w:rPr>
      </w:pPr>
    </w:p>
    <w:p>
      <w:pPr>
        <w:bidi w:val="0"/>
        <w:rPr>
          <w:rFonts w:hint="eastAsia"/>
          <w:color w:val="auto"/>
          <w:shd w:val="clear" w:color="auto" w:fill="auto"/>
          <w:lang w:val="en-US" w:eastAsia="zh-CN"/>
        </w:rPr>
      </w:pPr>
    </w:p>
    <w:p>
      <w:pPr>
        <w:bidi w:val="0"/>
        <w:rPr>
          <w:rFonts w:hint="eastAsia"/>
          <w:color w:val="auto"/>
          <w:sz w:val="32"/>
          <w:szCs w:val="32"/>
          <w:shd w:val="clear" w:color="auto" w:fill="auto"/>
          <w:lang w:val="en-US" w:eastAsia="zh-CN"/>
        </w:rPr>
      </w:pPr>
    </w:p>
    <w:p>
      <w:pPr>
        <w:bidi w:val="0"/>
        <w:jc w:val="center"/>
        <w:rPr>
          <w:rFonts w:hint="eastAsia"/>
          <w:color w:val="auto"/>
          <w:sz w:val="32"/>
          <w:szCs w:val="32"/>
          <w:shd w:val="clear" w:color="auto" w:fill="auto"/>
          <w:lang w:val="en-US" w:eastAsia="zh-CN"/>
        </w:rPr>
      </w:pPr>
      <w:r>
        <w:rPr>
          <w:rFonts w:hint="eastAsia"/>
          <w:color w:val="auto"/>
          <w:sz w:val="48"/>
          <w:szCs w:val="48"/>
          <w:shd w:val="clear" w:color="auto" w:fill="auto"/>
          <w:lang w:val="en-US" w:eastAsia="zh-CN"/>
        </w:rPr>
        <w:t>（讨论稿）</w:t>
      </w: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rPr>
          <w:rFonts w:hint="eastAsia"/>
          <w:color w:val="auto"/>
          <w:sz w:val="32"/>
          <w:szCs w:val="32"/>
          <w:shd w:val="clear" w:color="auto" w:fill="auto"/>
          <w:lang w:val="en-US" w:eastAsia="zh-CN"/>
        </w:rPr>
      </w:pPr>
    </w:p>
    <w:p>
      <w:pPr>
        <w:bidi w:val="0"/>
        <w:jc w:val="center"/>
        <w:rPr>
          <w:rFonts w:hint="eastAsia"/>
          <w:color w:val="auto"/>
          <w:sz w:val="32"/>
          <w:szCs w:val="32"/>
          <w:shd w:val="clear" w:color="auto" w:fill="auto"/>
          <w:lang w:val="en-US" w:eastAsia="zh-CN"/>
        </w:rPr>
      </w:pPr>
      <w:r>
        <w:rPr>
          <w:rFonts w:hint="eastAsia"/>
          <w:color w:val="auto"/>
          <w:sz w:val="32"/>
          <w:szCs w:val="32"/>
          <w:shd w:val="clear" w:color="auto" w:fill="auto"/>
          <w:lang w:val="en-US" w:eastAsia="zh-CN"/>
        </w:rPr>
        <w:t>湘西土家族苗族自治州人民政府</w:t>
      </w:r>
    </w:p>
    <w:p>
      <w:pPr>
        <w:bidi w:val="0"/>
        <w:jc w:val="center"/>
        <w:rPr>
          <w:rFonts w:hint="default"/>
          <w:color w:val="auto"/>
          <w:sz w:val="32"/>
          <w:szCs w:val="32"/>
          <w:shd w:val="clear" w:color="auto" w:fill="auto"/>
          <w:lang w:val="en-US" w:eastAsia="zh-CN"/>
        </w:rPr>
      </w:pPr>
      <w:r>
        <w:rPr>
          <w:rFonts w:hint="eastAsia"/>
          <w:color w:val="auto"/>
          <w:sz w:val="32"/>
          <w:szCs w:val="32"/>
          <w:shd w:val="clear" w:color="auto" w:fill="auto"/>
          <w:lang w:val="en-US" w:eastAsia="zh-CN"/>
        </w:rPr>
        <w:t>2023年3月</w:t>
      </w:r>
    </w:p>
    <w:p>
      <w:pPr>
        <w:pStyle w:val="11"/>
        <w:keepNext w:val="0"/>
        <w:keepLines w:val="0"/>
        <w:pageBreakBefore w:val="0"/>
        <w:widowControl/>
        <w:suppressLineNumbers w:val="0"/>
        <w:shd w:val="clear" w:fill="FFFFFF"/>
        <w:kinsoku/>
        <w:wordWrap/>
        <w:overflowPunct/>
        <w:topLinePunct w:val="0"/>
        <w:bidi w:val="0"/>
        <w:spacing w:before="0" w:beforeAutospacing="0" w:after="0" w:afterAutospacing="0" w:line="555" w:lineRule="atLeast"/>
        <w:ind w:left="0" w:right="0" w:firstLine="880" w:firstLineChars="200"/>
        <w:jc w:val="center"/>
        <w:rPr>
          <w:rFonts w:hint="eastAsia" w:ascii="方正小标宋简体" w:eastAsia="方正小标宋简体" w:hAnsiTheme="minorHAnsi" w:cstheme="minorBidi"/>
          <w:color w:val="auto"/>
          <w:kern w:val="2"/>
          <w:sz w:val="44"/>
          <w:szCs w:val="44"/>
          <w:shd w:val="clear" w:color="auto" w:fill="auto"/>
          <w:lang w:val="en-US" w:eastAsia="zh-CN" w:bidi="ar-SA"/>
        </w:rPr>
      </w:pPr>
    </w:p>
    <w:p>
      <w:pPr>
        <w:pStyle w:val="11"/>
        <w:keepNext w:val="0"/>
        <w:keepLines w:val="0"/>
        <w:pageBreakBefore w:val="0"/>
        <w:widowControl/>
        <w:suppressLineNumbers w:val="0"/>
        <w:shd w:val="clear" w:fill="FFFFFF"/>
        <w:kinsoku/>
        <w:wordWrap/>
        <w:overflowPunct/>
        <w:topLinePunct w:val="0"/>
        <w:bidi w:val="0"/>
        <w:spacing w:before="0" w:beforeAutospacing="0" w:after="0" w:afterAutospacing="0" w:line="555" w:lineRule="atLeast"/>
        <w:ind w:left="0" w:right="0" w:firstLine="880" w:firstLineChars="200"/>
        <w:jc w:val="center"/>
        <w:rPr>
          <w:rFonts w:hint="eastAsia" w:ascii="方正小标宋简体" w:eastAsia="方正小标宋简体" w:hAnsiTheme="minorHAnsi" w:cstheme="minorBidi"/>
          <w:color w:val="auto"/>
          <w:kern w:val="2"/>
          <w:sz w:val="44"/>
          <w:szCs w:val="44"/>
          <w:shd w:val="clear" w:color="auto" w:fill="auto"/>
          <w:lang w:val="en-US" w:eastAsia="zh-CN" w:bidi="ar-SA"/>
        </w:rPr>
        <w:sectPr>
          <w:footerReference r:id="rId3" w:type="default"/>
          <w:pgSz w:w="12240" w:h="15840"/>
          <w:pgMar w:top="1420" w:right="1560" w:bottom="1120" w:left="1580" w:header="745" w:footer="921" w:gutter="0"/>
          <w:pgBorders>
            <w:top w:val="none" w:sz="0" w:space="0"/>
            <w:left w:val="none" w:sz="0" w:space="0"/>
            <w:bottom w:val="none" w:sz="0" w:space="0"/>
            <w:right w:val="none" w:sz="0" w:space="0"/>
          </w:pgBorders>
          <w:pgNumType w:fmt="decimal"/>
          <w:cols w:space="720" w:num="1"/>
        </w:sectPr>
      </w:pPr>
    </w:p>
    <w:p>
      <w:pPr>
        <w:keepNext w:val="0"/>
        <w:keepLines w:val="0"/>
        <w:widowControl/>
        <w:suppressLineNumbers w:val="0"/>
        <w:jc w:val="center"/>
        <w:rPr>
          <w:rFonts w:hint="eastAsia" w:ascii="黑体" w:hAnsi="宋体" w:eastAsia="黑体" w:cs="黑体"/>
          <w:color w:val="auto"/>
          <w:kern w:val="0"/>
          <w:sz w:val="32"/>
          <w:szCs w:val="32"/>
          <w:shd w:val="clear" w:color="auto" w:fill="auto"/>
          <w:lang w:val="en-US" w:eastAsia="zh-CN" w:bidi="ar"/>
        </w:rPr>
      </w:pPr>
      <w:r>
        <w:rPr>
          <w:rFonts w:hint="eastAsia" w:ascii="黑体" w:hAnsi="宋体" w:eastAsia="黑体" w:cs="黑体"/>
          <w:color w:val="auto"/>
          <w:kern w:val="0"/>
          <w:sz w:val="32"/>
          <w:szCs w:val="32"/>
          <w:shd w:val="clear" w:color="auto" w:fill="auto"/>
          <w:lang w:val="en-US" w:eastAsia="zh-CN" w:bidi="ar"/>
        </w:rPr>
        <w:t>关于修订《湘西自治州城镇规划管理技术规定</w:t>
      </w:r>
    </w:p>
    <w:p>
      <w:pPr>
        <w:keepNext w:val="0"/>
        <w:keepLines w:val="0"/>
        <w:widowControl/>
        <w:suppressLineNumbers w:val="0"/>
        <w:jc w:val="center"/>
        <w:rPr>
          <w:rFonts w:hint="eastAsia" w:ascii="黑体" w:hAnsi="宋体" w:eastAsia="黑体" w:cs="黑体"/>
          <w:color w:val="auto"/>
          <w:kern w:val="0"/>
          <w:sz w:val="32"/>
          <w:szCs w:val="32"/>
          <w:shd w:val="clear" w:color="auto" w:fill="auto"/>
          <w:lang w:val="en-US" w:eastAsia="zh-CN" w:bidi="ar"/>
        </w:rPr>
      </w:pPr>
      <w:r>
        <w:rPr>
          <w:rFonts w:hint="eastAsia" w:ascii="黑体" w:hAnsi="宋体" w:eastAsia="黑体" w:cs="黑体"/>
          <w:color w:val="auto"/>
          <w:kern w:val="0"/>
          <w:sz w:val="32"/>
          <w:szCs w:val="32"/>
          <w:shd w:val="clear" w:color="auto" w:fill="auto"/>
          <w:lang w:val="en-US" w:eastAsia="zh-CN" w:bidi="ar"/>
        </w:rPr>
        <w:t>（2014 版）》的说明</w:t>
      </w:r>
    </w:p>
    <w:p>
      <w:pPr>
        <w:keepNext w:val="0"/>
        <w:keepLines w:val="0"/>
        <w:pageBreakBefore w:val="0"/>
        <w:widowControl/>
        <w:suppressLineNumbers w:val="0"/>
        <w:kinsoku/>
        <w:wordWrap/>
        <w:overflowPunct/>
        <w:topLinePunct w:val="0"/>
        <w:autoSpaceDE/>
        <w:autoSpaceDN/>
        <w:bidi w:val="0"/>
        <w:adjustRightInd/>
        <w:snapToGrid/>
        <w:spacing w:after="0" w:afterLines="100" w:line="600" w:lineRule="exact"/>
        <w:jc w:val="left"/>
        <w:textAlignment w:val="auto"/>
        <w:rPr>
          <w:rFonts w:hint="eastAsia" w:ascii="黑体" w:hAnsi="宋体" w:eastAsia="黑体" w:cs="黑体"/>
          <w:color w:val="auto"/>
          <w:kern w:val="0"/>
          <w:sz w:val="30"/>
          <w:szCs w:val="30"/>
          <w:shd w:val="clear" w:color="auto" w:fill="auto"/>
          <w:lang w:val="en-US" w:eastAsia="zh-CN" w:bidi="ar"/>
        </w:rPr>
      </w:pPr>
      <w:r>
        <w:rPr>
          <w:rFonts w:hint="eastAsia" w:ascii="黑体" w:hAnsi="宋体" w:eastAsia="黑体" w:cs="黑体"/>
          <w:color w:val="auto"/>
          <w:kern w:val="0"/>
          <w:sz w:val="30"/>
          <w:szCs w:val="30"/>
          <w:shd w:val="clear" w:color="auto" w:fill="auto"/>
          <w:lang w:val="en-US" w:eastAsia="zh-CN" w:bidi="ar"/>
        </w:rPr>
        <w:t xml:space="preserve">一、修订背景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2008年8月，湘西自治州人民政府出台了《湘西自治州城镇规划管理技术规定》(以下简称《技术规定》)(州政办发(2008)15号)文件，2014年12月，为加强全州城镇规划管理工作，州人民政府再以(州政办发(2014)32号)文件重新原文印发了该《技术规定》。该《技术规定》的出台，对于指导全州城镇建设健康有序发展、有效实施城市总体规划，提高城镇规划管理工作的标准化、规范化水平发挥了重要作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随着国家相关法律规范陆续修订出台，湘西自治州国土空间规划的编制，城市建设快速发展，以及国家关于加快构建新发展格局，着力推动高质量发展；推进文化自信自强，铸就社会主义文化新辉煌；增进民生福祉，提高人民生活品质；推动绿色发展，促进人与自然和谐共生，现有《技术规定》大部分条款已经不能完全适应现实和发展需要。在《技术规定》施行过程中，也反映出部分条款操作性不强或界定模糊，部分建设控制要求存在遗漏，部分新兴建设方式无管理控制要求等具体问题。为进一步规范城镇规划管理操作依据，经广泛征求设计单位、相关行业单位和有关管理部门意见，参考其他城市的先进经验，归纳修订形成《湘西自治州城镇规划管理技术规定（修订版）（试行）》（2022年）。</w:t>
      </w:r>
    </w:p>
    <w:p>
      <w:pPr>
        <w:keepNext w:val="0"/>
        <w:keepLines w:val="0"/>
        <w:pageBreakBefore w:val="0"/>
        <w:widowControl/>
        <w:suppressLineNumbers w:val="0"/>
        <w:kinsoku/>
        <w:wordWrap/>
        <w:overflowPunct/>
        <w:topLinePunct w:val="0"/>
        <w:autoSpaceDE/>
        <w:autoSpaceDN/>
        <w:bidi w:val="0"/>
        <w:adjustRightInd/>
        <w:snapToGrid/>
        <w:spacing w:after="0" w:afterLines="100" w:line="600" w:lineRule="exact"/>
        <w:jc w:val="left"/>
        <w:textAlignment w:val="auto"/>
        <w:rPr>
          <w:rFonts w:hint="eastAsia" w:ascii="黑体" w:hAnsi="宋体" w:eastAsia="黑体" w:cs="黑体"/>
          <w:color w:val="auto"/>
          <w:kern w:val="0"/>
          <w:sz w:val="30"/>
          <w:szCs w:val="30"/>
          <w:shd w:val="clear" w:color="auto" w:fill="auto"/>
          <w:lang w:val="en-US" w:eastAsia="zh-CN" w:bidi="ar"/>
        </w:rPr>
      </w:pPr>
      <w:r>
        <w:rPr>
          <w:rFonts w:hint="eastAsia" w:ascii="黑体" w:hAnsi="宋体" w:eastAsia="黑体" w:cs="黑体"/>
          <w:color w:val="auto"/>
          <w:kern w:val="0"/>
          <w:sz w:val="30"/>
          <w:szCs w:val="30"/>
          <w:shd w:val="clear" w:color="auto" w:fill="auto"/>
          <w:lang w:val="en-US" w:eastAsia="zh-CN" w:bidi="ar"/>
        </w:rPr>
        <w:t xml:space="preserve">二、修订依据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 xml:space="preserve">《中华人民共和国民法典》（2020年）；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《中华人民共和国土地管理法》（2020年）</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《中华人民共和国城乡规划法》（2019年修订）；</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_GB2312" w:hAnsi="仿宋_GB2312" w:eastAsia="仿宋_GB2312" w:cs="仿宋_GB2312"/>
          <w:color w:val="auto"/>
          <w:sz w:val="30"/>
          <w:szCs w:val="30"/>
          <w:highlight w:val="none"/>
          <w:shd w:val="clear" w:color="auto" w:fill="auto"/>
          <w:lang w:val="en-US" w:eastAsia="zh-CN"/>
        </w:rPr>
        <w:t>《湖南省实施〈中华人民共和国土地管理法〉办法》</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_GB2312" w:hAnsi="仿宋_GB2312" w:eastAsia="仿宋_GB2312" w:cs="仿宋_GB2312"/>
          <w:color w:val="auto"/>
          <w:sz w:val="30"/>
          <w:szCs w:val="30"/>
          <w:highlight w:val="none"/>
          <w:shd w:val="clear" w:color="auto" w:fill="auto"/>
          <w:lang w:val="en-US" w:eastAsia="zh-CN"/>
        </w:rPr>
        <w:t>《湖南省实施&lt;城乡规划法&gt;办法》</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《国土空间调查、规划、用途管制用地用海分类指南（试行）》（2020年）；</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_GB2312" w:hAnsi="仿宋_GB2312" w:eastAsia="仿宋_GB2312" w:cs="仿宋_GB2312"/>
          <w:color w:val="auto"/>
          <w:sz w:val="30"/>
          <w:szCs w:val="30"/>
          <w:highlight w:val="none"/>
          <w:shd w:val="clear" w:color="auto" w:fill="auto"/>
          <w:lang w:val="en-US" w:eastAsia="zh-CN"/>
        </w:rPr>
        <w:t>《湖南省村镇规划管理暂行办法》（湘政办发〔2012〕80号）</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《城市居住区规划设计标准》（GB50180-2018）；</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《城市道路工程设计规范》（CJJ37-2012）2016修订版；</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《民用建筑通用规范》GB55031-2022</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《湖南省乡镇国土空间规划编制指南（试行）》（2020年）；</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《湖南省城乡规划管理技术规定（试行）》（2015年）；</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《中国地下城市空间规划编制导则》（征求意见稿）</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《建筑设计防火规范》（GB50016-2014（2018版）</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《城市地下道路工程设计规范》（CJJ221-2015）</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《无障碍设计规范》（GB 50763-2012）</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《城市地下空间规划标准》（GBT51358-2019）</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《人民防空地下室设计规范》（GB 50038-2005</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default" w:ascii="仿宋" w:hAnsi="仿宋" w:eastAsia="仿宋" w:cs="仿宋"/>
          <w:color w:val="auto"/>
          <w:kern w:val="0"/>
          <w:sz w:val="30"/>
          <w:szCs w:val="30"/>
          <w:shd w:val="clear" w:color="auto" w:fill="auto"/>
          <w:lang w:val="en-US" w:eastAsia="zh-CN" w:bidi="ar"/>
        </w:rPr>
        <w:t>《城市公共停车场工程项目建设标准》</w:t>
      </w:r>
      <w:r>
        <w:rPr>
          <w:rFonts w:hint="eastAsia" w:ascii="仿宋" w:hAnsi="仿宋" w:eastAsia="仿宋" w:cs="仿宋"/>
          <w:color w:val="auto"/>
          <w:kern w:val="0"/>
          <w:sz w:val="30"/>
          <w:szCs w:val="30"/>
          <w:shd w:val="clear" w:color="auto" w:fill="auto"/>
          <w:lang w:val="en-US" w:eastAsia="zh-CN" w:bidi="ar"/>
        </w:rPr>
        <w:t>(建128-2010）</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《车库建筑设计规范》（JGJ100-2015）</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《城市地下商业空间设计导则》（T/CECS 481-2017）</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《机动车停车库（场）环境保护设计规程》（DGJ 08-98-2016）</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《城市工程管线综合规划规范》（</w:t>
      </w:r>
      <w:r>
        <w:rPr>
          <w:rFonts w:hint="default" w:ascii="仿宋" w:hAnsi="仿宋" w:eastAsia="仿宋" w:cs="仿宋"/>
          <w:color w:val="auto"/>
          <w:kern w:val="0"/>
          <w:sz w:val="30"/>
          <w:szCs w:val="30"/>
          <w:shd w:val="clear" w:color="auto" w:fill="auto"/>
          <w:lang w:val="en-US" w:eastAsia="zh-CN" w:bidi="ar"/>
        </w:rPr>
        <w:t>GB 50289-2016</w:t>
      </w:r>
      <w:r>
        <w:rPr>
          <w:rFonts w:hint="eastAsia" w:ascii="仿宋" w:hAnsi="仿宋" w:eastAsia="仿宋" w:cs="仿宋"/>
          <w:color w:val="auto"/>
          <w:kern w:val="0"/>
          <w:sz w:val="30"/>
          <w:szCs w:val="30"/>
          <w:shd w:val="clear" w:color="auto" w:fill="auto"/>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《城市消防站建设标准》（</w:t>
      </w:r>
      <w:r>
        <w:rPr>
          <w:rFonts w:hint="default" w:ascii="仿宋" w:hAnsi="仿宋" w:eastAsia="仿宋" w:cs="仿宋"/>
          <w:color w:val="auto"/>
          <w:kern w:val="0"/>
          <w:sz w:val="30"/>
          <w:szCs w:val="30"/>
          <w:shd w:val="clear" w:color="auto" w:fill="auto"/>
          <w:lang w:val="en-US" w:eastAsia="zh-CN" w:bidi="ar"/>
        </w:rPr>
        <w:t>建标152-2017</w:t>
      </w:r>
      <w:r>
        <w:rPr>
          <w:rFonts w:hint="eastAsia" w:ascii="仿宋" w:hAnsi="仿宋" w:eastAsia="仿宋" w:cs="仿宋"/>
          <w:color w:val="auto"/>
          <w:kern w:val="0"/>
          <w:sz w:val="30"/>
          <w:szCs w:val="30"/>
          <w:shd w:val="clear" w:color="auto" w:fill="auto"/>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《城市防洪工程设计规范》（</w:t>
      </w:r>
      <w:r>
        <w:rPr>
          <w:rFonts w:hint="default" w:ascii="仿宋" w:hAnsi="仿宋" w:eastAsia="仿宋" w:cs="仿宋"/>
          <w:color w:val="auto"/>
          <w:kern w:val="0"/>
          <w:sz w:val="30"/>
          <w:szCs w:val="30"/>
          <w:shd w:val="clear" w:color="auto" w:fill="auto"/>
          <w:lang w:val="en-US" w:eastAsia="zh-CN" w:bidi="ar"/>
        </w:rPr>
        <w:t>GBT50805-2012</w:t>
      </w:r>
      <w:r>
        <w:rPr>
          <w:rFonts w:hint="eastAsia" w:ascii="仿宋" w:hAnsi="仿宋" w:eastAsia="仿宋" w:cs="仿宋"/>
          <w:color w:val="auto"/>
          <w:kern w:val="0"/>
          <w:sz w:val="30"/>
          <w:szCs w:val="30"/>
          <w:shd w:val="clear" w:color="auto" w:fill="auto"/>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《城镇内涝防治技术规范》（</w:t>
      </w:r>
      <w:r>
        <w:rPr>
          <w:rFonts w:hint="default" w:ascii="仿宋" w:hAnsi="仿宋" w:eastAsia="仿宋" w:cs="仿宋"/>
          <w:color w:val="auto"/>
          <w:kern w:val="0"/>
          <w:sz w:val="30"/>
          <w:szCs w:val="30"/>
          <w:shd w:val="clear" w:color="auto" w:fill="auto"/>
          <w:lang w:val="en-US" w:eastAsia="zh-CN" w:bidi="ar"/>
        </w:rPr>
        <w:t>GB 51222-2017</w:t>
      </w:r>
      <w:r>
        <w:rPr>
          <w:rFonts w:hint="eastAsia" w:ascii="仿宋" w:hAnsi="仿宋" w:eastAsia="仿宋" w:cs="仿宋"/>
          <w:color w:val="auto"/>
          <w:kern w:val="0"/>
          <w:sz w:val="30"/>
          <w:szCs w:val="30"/>
          <w:shd w:val="clear" w:color="auto" w:fill="auto"/>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《镇规划标准》（GB 50188 — 2007</w:t>
      </w:r>
      <w:r>
        <w:rPr>
          <w:rFonts w:hint="default" w:ascii="仿宋" w:hAnsi="仿宋" w:eastAsia="仿宋" w:cs="仿宋"/>
          <w:color w:val="auto"/>
          <w:kern w:val="0"/>
          <w:sz w:val="30"/>
          <w:szCs w:val="30"/>
          <w:shd w:val="clear" w:color="auto" w:fill="auto"/>
          <w:lang w:val="en-US" w:eastAsia="zh-CN" w:bidi="ar"/>
        </w:rPr>
        <w:t> </w:t>
      </w:r>
      <w:r>
        <w:rPr>
          <w:rFonts w:hint="eastAsia" w:ascii="仿宋" w:hAnsi="仿宋" w:eastAsia="仿宋" w:cs="仿宋"/>
          <w:color w:val="auto"/>
          <w:kern w:val="0"/>
          <w:sz w:val="30"/>
          <w:szCs w:val="30"/>
          <w:shd w:val="clear" w:color="auto" w:fill="auto"/>
          <w:lang w:val="en-US" w:eastAsia="zh-CN" w:bidi="ar"/>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《湖南省建筑工程竣工综合测量和建筑面积计算技术规程》（DBJ 43/T 346-2019）</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《湘西州工程建设项目全流程“多测合一”技术规定（试行）》（2022年8月）</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403" w:firstLineChars="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其他相关法律、法规、技术规范和规范性文件</w:t>
      </w:r>
    </w:p>
    <w:p>
      <w:pPr>
        <w:rPr>
          <w:rFonts w:hint="eastAsia"/>
          <w:color w:val="auto"/>
          <w:shd w:val="clear" w:color="auto" w:fil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黑体" w:hAnsi="宋体" w:eastAsia="黑体" w:cs="黑体"/>
          <w:color w:val="auto"/>
          <w:kern w:val="0"/>
          <w:sz w:val="30"/>
          <w:szCs w:val="30"/>
          <w:shd w:val="clear" w:color="auto" w:fill="auto"/>
          <w:lang w:val="en-US" w:eastAsia="zh-CN" w:bidi="ar"/>
        </w:rPr>
      </w:pPr>
      <w:r>
        <w:rPr>
          <w:rFonts w:hint="eastAsia" w:ascii="黑体" w:hAnsi="宋体" w:eastAsia="黑体" w:cs="黑体"/>
          <w:color w:val="auto"/>
          <w:kern w:val="0"/>
          <w:sz w:val="30"/>
          <w:szCs w:val="30"/>
          <w:shd w:val="clear" w:color="auto" w:fill="auto"/>
          <w:lang w:val="en-US" w:eastAsia="zh-CN" w:bidi="ar"/>
        </w:rPr>
        <w:t xml:space="preserve"> 三、修订主要内容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《湘西自治州城镇规划管理技术规定（修订版）（试行）》（2022年）是以《湘西自治州城镇规划管理技术规定（2014 版）》为基础，结合湘西自治州城镇管理实际情况，通过调整、更新和增减相应条款，由原来的十章七十四条五个附件调整为十二章一百八十五条两个附表、两个附录。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color w:val="auto"/>
          <w:sz w:val="30"/>
          <w:szCs w:val="30"/>
          <w:shd w:val="clear" w:color="auto" w:fill="auto"/>
        </w:rPr>
      </w:pPr>
      <w:r>
        <w:rPr>
          <w:rFonts w:hint="eastAsia" w:ascii="仿宋" w:hAnsi="仿宋" w:eastAsia="仿宋" w:cs="仿宋"/>
          <w:color w:val="auto"/>
          <w:kern w:val="0"/>
          <w:sz w:val="30"/>
          <w:szCs w:val="30"/>
          <w:shd w:val="clear" w:color="auto" w:fill="auto"/>
          <w:lang w:val="en-US" w:eastAsia="zh-CN" w:bidi="ar"/>
        </w:rPr>
        <w:t>调整后，总体框架为：总则、城市用地、建筑工程、公共服务设施、道路与交通设施、市政公用设施及管线、城市综合防灾减灾、城市空域保护与地下空间开发利用、生态保护</w:t>
      </w:r>
      <w:r>
        <w:rPr>
          <w:rFonts w:hint="eastAsia" w:ascii="仿宋" w:hAnsi="仿宋" w:eastAsia="仿宋" w:cs="仿宋"/>
          <w:color w:val="auto"/>
          <w:kern w:val="0"/>
          <w:sz w:val="30"/>
          <w:szCs w:val="30"/>
          <w:shd w:val="clear" w:color="auto" w:fill="auto"/>
          <w:lang w:val="en-US" w:eastAsia="zh-CN" w:bidi="ar"/>
        </w:rPr>
        <w:t>与</w:t>
      </w:r>
      <w:r>
        <w:rPr>
          <w:rFonts w:hint="eastAsia" w:ascii="仿宋" w:hAnsi="仿宋" w:eastAsia="仿宋" w:cs="仿宋"/>
          <w:color w:val="auto"/>
          <w:kern w:val="0"/>
          <w:sz w:val="30"/>
          <w:szCs w:val="30"/>
          <w:shd w:val="clear" w:color="auto" w:fill="auto"/>
          <w:lang w:val="en-US" w:eastAsia="zh-CN" w:bidi="ar"/>
        </w:rPr>
        <w:t xml:space="preserve">城市景观、历史文化保护、镇规划管理、附则。本次修订的主要内容如下：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color w:val="auto"/>
          <w:sz w:val="30"/>
          <w:szCs w:val="30"/>
          <w:shd w:val="clear" w:color="auto" w:fill="auto"/>
        </w:rPr>
      </w:pPr>
      <w:r>
        <w:rPr>
          <w:rFonts w:hint="eastAsia" w:ascii="仿宋" w:hAnsi="仿宋" w:eastAsia="仿宋" w:cs="仿宋"/>
          <w:color w:val="auto"/>
          <w:kern w:val="0"/>
          <w:sz w:val="30"/>
          <w:szCs w:val="30"/>
          <w:shd w:val="clear" w:color="auto" w:fill="auto"/>
          <w:lang w:val="en-US" w:eastAsia="zh-CN" w:bidi="ar"/>
        </w:rPr>
        <w:t xml:space="preserve">1、更新技术要求。按照近年新出台的技术规范要求，更新绿地指标、建设用地容量、道路与交通设施、公用设施、建筑日照等技术控制指标。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color w:val="auto"/>
          <w:sz w:val="30"/>
          <w:szCs w:val="30"/>
          <w:shd w:val="clear" w:color="auto" w:fill="auto"/>
        </w:rPr>
      </w:pPr>
      <w:r>
        <w:rPr>
          <w:rFonts w:hint="eastAsia" w:ascii="仿宋" w:hAnsi="仿宋" w:eastAsia="仿宋" w:cs="仿宋"/>
          <w:color w:val="auto"/>
          <w:kern w:val="0"/>
          <w:sz w:val="30"/>
          <w:szCs w:val="30"/>
          <w:shd w:val="clear" w:color="auto" w:fill="auto"/>
          <w:lang w:val="en-US" w:eastAsia="zh-CN" w:bidi="ar"/>
        </w:rPr>
        <w:t xml:space="preserve">2、提升城市品质。一是加强生态保护和城市景观控制要求，凸显生态文明城市特色；二是强化天际轮廓线、景观通廊、功能布置、街道空间、沿街界面、街道高宽比、建筑高度、建筑面宽、建筑屋顶、建筑形态、建筑立面、建筑色彩、建筑用材等控制要求，优化城市空间形象塑造；三是完善公共服务设施配套，提升城市服务质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color w:val="auto"/>
          <w:sz w:val="30"/>
          <w:szCs w:val="30"/>
          <w:shd w:val="clear" w:color="auto" w:fill="auto"/>
        </w:rPr>
      </w:pPr>
      <w:r>
        <w:rPr>
          <w:rFonts w:hint="eastAsia" w:ascii="仿宋" w:hAnsi="仿宋" w:eastAsia="仿宋" w:cs="仿宋"/>
          <w:color w:val="auto"/>
          <w:kern w:val="0"/>
          <w:sz w:val="30"/>
          <w:szCs w:val="30"/>
          <w:shd w:val="clear" w:color="auto" w:fill="auto"/>
          <w:lang w:val="en-US" w:eastAsia="zh-CN" w:bidi="ar"/>
        </w:rPr>
        <w:t xml:space="preserve">3、强化城市安全。明确建筑退高速铁路、轨道交通的控制要求，强调燃气管道、地埋油管及综合管廊的设置要求，从环境、安全等角度强化涉及城市和公众安全的保护控制要求。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 xml:space="preserve">4、服务城市发展。湘西自治州近年城市面貌日新月异，在城镇规划和建设过程中相继出现了诸如屋顶绿化折算、风雨连廊和架空层容积率计算、阳台进深宽度控制、建筑凹槽或连梁设置方式限定等新的问题，需要增加或调整相应内容的技术标准来指导规划管理,服务城镇发展。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default"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5、体现时代特点。加强与国土空间规划的衔接，顺应发展变革的要求。加快构建新发展格局，着力推动高质量发展；推进文化自信自强，铸就社会主义文化新辉煌；增进民生福祉，提高人民生活品质；推动绿色发展，促进人与自然和谐共生。</w:t>
      </w:r>
    </w:p>
    <w:p>
      <w:pPr>
        <w:pStyle w:val="18"/>
        <w:pageBreakBefore w:val="0"/>
        <w:kinsoku/>
        <w:wordWrap/>
        <w:overflowPunct/>
        <w:topLinePunct w:val="0"/>
        <w:autoSpaceDE/>
        <w:bidi w:val="0"/>
        <w:spacing w:line="360" w:lineRule="auto"/>
        <w:ind w:firstLine="600" w:firstLineChars="200"/>
        <w:rPr>
          <w:rFonts w:hint="eastAsia"/>
          <w:color w:val="auto"/>
          <w:sz w:val="30"/>
          <w:szCs w:val="30"/>
          <w:shd w:val="clear" w:color="auto" w:fill="auto"/>
          <w:lang w:val="en-US" w:eastAsia="zh-CN"/>
        </w:rPr>
        <w:sectPr>
          <w:footerReference r:id="rId4" w:type="default"/>
          <w:pgSz w:w="12240" w:h="15840"/>
          <w:pgMar w:top="1420" w:right="1560" w:bottom="1120" w:left="1580" w:header="745" w:footer="921" w:gutter="0"/>
          <w:pgBorders>
            <w:top w:val="none" w:sz="0" w:space="0"/>
            <w:left w:val="none" w:sz="0" w:space="0"/>
            <w:bottom w:val="none" w:sz="0" w:space="0"/>
            <w:right w:val="none" w:sz="0" w:space="0"/>
          </w:pgBorders>
          <w:pgNumType w:fmt="decimal" w:start="1"/>
          <w:cols w:space="720" w:num="1"/>
        </w:sectPr>
      </w:pPr>
    </w:p>
    <w:p>
      <w:pPr>
        <w:pStyle w:val="18"/>
        <w:keepNext/>
        <w:keepLines/>
        <w:pageBreakBefore w:val="0"/>
        <w:widowControl w:val="0"/>
        <w:kinsoku/>
        <w:wordWrap/>
        <w:overflowPunct/>
        <w:topLinePunct w:val="0"/>
        <w:autoSpaceDE/>
        <w:autoSpaceDN/>
        <w:bidi w:val="0"/>
        <w:adjustRightInd/>
        <w:snapToGrid/>
        <w:spacing w:line="240" w:lineRule="auto"/>
        <w:ind w:firstLine="723" w:firstLineChars="200"/>
        <w:jc w:val="center"/>
        <w:textAlignment w:val="auto"/>
        <w:rPr>
          <w:rFonts w:hint="eastAsia" w:ascii="黑体" w:hAnsi="黑体" w:eastAsia="黑体" w:cs="黑体"/>
          <w:b/>
          <w:bCs/>
          <w:color w:val="auto"/>
          <w:kern w:val="0"/>
          <w:sz w:val="36"/>
          <w:szCs w:val="36"/>
          <w:shd w:val="clear" w:color="auto" w:fill="auto"/>
          <w:lang w:val="en-US" w:eastAsia="zh-CN" w:bidi="ar"/>
        </w:rPr>
      </w:pPr>
      <w:r>
        <w:rPr>
          <w:rFonts w:hint="eastAsia" w:ascii="黑体" w:hAnsi="黑体" w:eastAsia="黑体" w:cs="黑体"/>
          <w:b/>
          <w:bCs/>
          <w:color w:val="auto"/>
          <w:kern w:val="0"/>
          <w:sz w:val="36"/>
          <w:szCs w:val="36"/>
          <w:shd w:val="clear" w:color="auto" w:fill="auto"/>
          <w:lang w:val="en-US" w:eastAsia="zh-CN" w:bidi="ar"/>
        </w:rPr>
        <w:t>目  录</w:t>
      </w:r>
    </w:p>
    <w:p>
      <w:pPr>
        <w:pStyle w:val="9"/>
        <w:tabs>
          <w:tab w:val="right" w:leader="dot" w:pos="9100"/>
        </w:tabs>
        <w:rPr>
          <w:color w:val="auto"/>
          <w:shd w:val="clear" w:color="auto" w:fill="auto"/>
        </w:rPr>
      </w:pPr>
      <w:r>
        <w:rPr>
          <w:rFonts w:hint="default"/>
          <w:color w:val="auto"/>
          <w:sz w:val="28"/>
          <w:szCs w:val="28"/>
          <w:shd w:val="clear" w:color="auto" w:fill="auto"/>
          <w:lang w:val="en-US" w:eastAsia="zh-CN"/>
        </w:rPr>
        <w:fldChar w:fldCharType="begin"/>
      </w:r>
      <w:r>
        <w:rPr>
          <w:rFonts w:hint="default"/>
          <w:color w:val="auto"/>
          <w:sz w:val="28"/>
          <w:szCs w:val="28"/>
          <w:shd w:val="clear" w:color="auto" w:fill="auto"/>
          <w:lang w:val="en-US" w:eastAsia="zh-CN"/>
        </w:rPr>
        <w:instrText xml:space="preserve">TOC \o "1-2" \h \u </w:instrText>
      </w:r>
      <w:r>
        <w:rPr>
          <w:rFonts w:hint="default"/>
          <w:color w:val="auto"/>
          <w:sz w:val="28"/>
          <w:szCs w:val="28"/>
          <w:shd w:val="clear" w:color="auto" w:fill="auto"/>
          <w:lang w:val="en-US" w:eastAsia="zh-CN"/>
        </w:rPr>
        <w:fldChar w:fldCharType="separate"/>
      </w: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_Toc24571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第一章 总  则</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_Toc24571 \h </w:instrText>
      </w:r>
      <w:r>
        <w:rPr>
          <w:color w:val="auto"/>
          <w:shd w:val="clear" w:color="auto" w:fill="auto"/>
        </w:rPr>
        <w:fldChar w:fldCharType="separate"/>
      </w:r>
      <w:r>
        <w:rPr>
          <w:color w:val="auto"/>
          <w:shd w:val="clear" w:color="auto" w:fill="auto"/>
        </w:rPr>
        <w:t>1</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_Toc20625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第二章 城市用地</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_Toc20625 \h </w:instrText>
      </w:r>
      <w:r>
        <w:rPr>
          <w:color w:val="auto"/>
          <w:shd w:val="clear" w:color="auto" w:fill="auto"/>
        </w:rPr>
        <w:fldChar w:fldCharType="separate"/>
      </w:r>
      <w:r>
        <w:rPr>
          <w:color w:val="auto"/>
          <w:shd w:val="clear" w:color="auto" w:fill="auto"/>
        </w:rPr>
        <w:t>2</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_Toc24768 </w:instrText>
      </w:r>
      <w:r>
        <w:rPr>
          <w:rFonts w:hint="default"/>
          <w:color w:val="auto"/>
          <w:szCs w:val="28"/>
          <w:shd w:val="clear" w:color="auto" w:fill="auto"/>
          <w:lang w:val="en-US" w:eastAsia="zh-CN"/>
        </w:rPr>
        <w:fldChar w:fldCharType="separate"/>
      </w:r>
      <w:r>
        <w:rPr>
          <w:rFonts w:hint="eastAsia"/>
          <w:bCs/>
          <w:color w:val="auto"/>
          <w:shd w:val="clear" w:color="auto" w:fill="auto"/>
        </w:rPr>
        <w:t>第一节  用地分类</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_Toc24768 \h </w:instrText>
      </w:r>
      <w:r>
        <w:rPr>
          <w:color w:val="auto"/>
          <w:shd w:val="clear" w:color="auto" w:fill="auto"/>
        </w:rPr>
        <w:fldChar w:fldCharType="separate"/>
      </w:r>
      <w:r>
        <w:rPr>
          <w:color w:val="auto"/>
          <w:shd w:val="clear" w:color="auto" w:fill="auto"/>
        </w:rPr>
        <w:t>2</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_Toc8396 </w:instrText>
      </w:r>
      <w:r>
        <w:rPr>
          <w:rFonts w:hint="default"/>
          <w:color w:val="auto"/>
          <w:szCs w:val="28"/>
          <w:shd w:val="clear" w:color="auto" w:fill="auto"/>
          <w:lang w:val="en-US" w:eastAsia="zh-CN"/>
        </w:rPr>
        <w:fldChar w:fldCharType="separate"/>
      </w:r>
      <w:r>
        <w:rPr>
          <w:rFonts w:hint="eastAsia"/>
          <w:bCs/>
          <w:color w:val="auto"/>
          <w:shd w:val="clear" w:color="auto" w:fill="auto"/>
        </w:rPr>
        <w:t>第</w:t>
      </w:r>
      <w:r>
        <w:rPr>
          <w:rFonts w:hint="eastAsia"/>
          <w:bCs/>
          <w:color w:val="auto"/>
          <w:shd w:val="clear" w:color="auto" w:fill="auto"/>
          <w:lang w:val="en-US" w:eastAsia="zh-CN"/>
        </w:rPr>
        <w:t>二</w:t>
      </w:r>
      <w:r>
        <w:rPr>
          <w:rFonts w:hint="eastAsia"/>
          <w:bCs/>
          <w:color w:val="auto"/>
          <w:shd w:val="clear" w:color="auto" w:fill="auto"/>
        </w:rPr>
        <w:t>节 建筑容量控制</w:t>
      </w:r>
      <w:r>
        <w:rPr>
          <w:color w:val="auto"/>
          <w:shd w:val="clear" w:color="auto" w:fill="auto"/>
        </w:rPr>
        <w:tab/>
      </w:r>
      <w:r>
        <w:rPr>
          <w:color w:val="auto"/>
          <w:shd w:val="clear" w:color="auto" w:fill="auto"/>
        </w:rPr>
        <w:fldChar w:fldCharType="begin"/>
      </w:r>
      <w:r>
        <w:rPr>
          <w:color w:val="auto"/>
          <w:shd w:val="clear" w:color="auto" w:fill="auto"/>
        </w:rPr>
        <w:instrText xml:space="preserve"> PAGEREF _Toc8396 \h </w:instrText>
      </w:r>
      <w:r>
        <w:rPr>
          <w:color w:val="auto"/>
          <w:shd w:val="clear" w:color="auto" w:fill="auto"/>
        </w:rPr>
        <w:fldChar w:fldCharType="separate"/>
      </w:r>
      <w:r>
        <w:rPr>
          <w:color w:val="auto"/>
          <w:shd w:val="clear" w:color="auto" w:fill="auto"/>
        </w:rPr>
        <w:t>9</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_Toc2962 </w:instrText>
      </w:r>
      <w:r>
        <w:rPr>
          <w:rFonts w:hint="default"/>
          <w:color w:val="auto"/>
          <w:szCs w:val="28"/>
          <w:shd w:val="clear" w:color="auto" w:fill="auto"/>
          <w:lang w:val="en-US" w:eastAsia="zh-CN"/>
        </w:rPr>
        <w:fldChar w:fldCharType="separate"/>
      </w:r>
      <w:r>
        <w:rPr>
          <w:rFonts w:hint="eastAsia"/>
          <w:bCs/>
          <w:color w:val="auto"/>
          <w:shd w:val="clear" w:color="auto" w:fill="auto"/>
        </w:rPr>
        <w:t>第</w:t>
      </w:r>
      <w:r>
        <w:rPr>
          <w:rFonts w:hint="eastAsia"/>
          <w:bCs/>
          <w:color w:val="auto"/>
          <w:shd w:val="clear" w:color="auto" w:fill="auto"/>
          <w:lang w:val="en-US" w:eastAsia="zh-CN"/>
        </w:rPr>
        <w:t>三</w:t>
      </w:r>
      <w:r>
        <w:rPr>
          <w:rFonts w:hint="eastAsia"/>
          <w:bCs/>
          <w:color w:val="auto"/>
          <w:shd w:val="clear" w:color="auto" w:fill="auto"/>
        </w:rPr>
        <w:t xml:space="preserve">节  </w:t>
      </w:r>
      <w:r>
        <w:rPr>
          <w:rFonts w:hint="eastAsia"/>
          <w:bCs/>
          <w:color w:val="auto"/>
          <w:shd w:val="clear" w:color="auto" w:fill="auto"/>
          <w:lang w:val="en-US" w:eastAsia="zh-CN"/>
        </w:rPr>
        <w:t>建筑基地控制</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_Toc2962 \h </w:instrText>
      </w:r>
      <w:r>
        <w:rPr>
          <w:color w:val="auto"/>
          <w:shd w:val="clear" w:color="auto" w:fill="auto"/>
        </w:rPr>
        <w:fldChar w:fldCharType="separate"/>
      </w:r>
      <w:r>
        <w:rPr>
          <w:color w:val="auto"/>
          <w:shd w:val="clear" w:color="auto" w:fill="auto"/>
        </w:rPr>
        <w:t>12</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_Toc5234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第三章 建筑工程</w:t>
      </w:r>
      <w:r>
        <w:rPr>
          <w:color w:val="auto"/>
          <w:shd w:val="clear" w:color="auto" w:fill="auto"/>
        </w:rPr>
        <w:tab/>
      </w:r>
      <w:r>
        <w:rPr>
          <w:color w:val="auto"/>
          <w:shd w:val="clear" w:color="auto" w:fill="auto"/>
        </w:rPr>
        <w:fldChar w:fldCharType="begin"/>
      </w:r>
      <w:r>
        <w:rPr>
          <w:color w:val="auto"/>
          <w:shd w:val="clear" w:color="auto" w:fill="auto"/>
        </w:rPr>
        <w:instrText xml:space="preserve"> PAGEREF _Toc5234 \h </w:instrText>
      </w:r>
      <w:r>
        <w:rPr>
          <w:color w:val="auto"/>
          <w:shd w:val="clear" w:color="auto" w:fill="auto"/>
        </w:rPr>
        <w:fldChar w:fldCharType="separate"/>
      </w:r>
      <w:r>
        <w:rPr>
          <w:color w:val="auto"/>
          <w:shd w:val="clear" w:color="auto" w:fill="auto"/>
        </w:rPr>
        <w:t>13</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_Toc105 </w:instrText>
      </w:r>
      <w:r>
        <w:rPr>
          <w:rFonts w:hint="default"/>
          <w:color w:val="auto"/>
          <w:szCs w:val="28"/>
          <w:shd w:val="clear" w:color="auto" w:fill="auto"/>
          <w:lang w:val="en-US" w:eastAsia="zh-CN"/>
        </w:rPr>
        <w:fldChar w:fldCharType="separate"/>
      </w:r>
      <w:r>
        <w:rPr>
          <w:rFonts w:hint="eastAsia"/>
          <w:bCs/>
          <w:color w:val="auto"/>
          <w:shd w:val="clear" w:color="auto" w:fill="auto"/>
          <w:lang w:eastAsia="zh-CN"/>
        </w:rPr>
        <w:t>第一节</w:t>
      </w:r>
      <w:r>
        <w:rPr>
          <w:rFonts w:hint="eastAsia"/>
          <w:bCs/>
          <w:color w:val="auto"/>
          <w:shd w:val="clear" w:color="auto" w:fill="auto"/>
          <w:lang w:val="en-US" w:eastAsia="zh-CN"/>
        </w:rPr>
        <w:t xml:space="preserve">  建筑间距</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_Toc105 \h </w:instrText>
      </w:r>
      <w:r>
        <w:rPr>
          <w:color w:val="auto"/>
          <w:shd w:val="clear" w:color="auto" w:fill="auto"/>
        </w:rPr>
        <w:fldChar w:fldCharType="separate"/>
      </w:r>
      <w:r>
        <w:rPr>
          <w:color w:val="auto"/>
          <w:shd w:val="clear" w:color="auto" w:fill="auto"/>
        </w:rPr>
        <w:t>13</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_Toc16941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第二节  建筑日照</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_Toc16941 \h </w:instrText>
      </w:r>
      <w:r>
        <w:rPr>
          <w:color w:val="auto"/>
          <w:shd w:val="clear" w:color="auto" w:fill="auto"/>
        </w:rPr>
        <w:fldChar w:fldCharType="separate"/>
      </w:r>
      <w:r>
        <w:rPr>
          <w:color w:val="auto"/>
          <w:shd w:val="clear" w:color="auto" w:fill="auto"/>
        </w:rPr>
        <w:t>20</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_Toc24470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第三节  建筑离界与退让</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_Toc24470 \h </w:instrText>
      </w:r>
      <w:r>
        <w:rPr>
          <w:color w:val="auto"/>
          <w:shd w:val="clear" w:color="auto" w:fill="auto"/>
        </w:rPr>
        <w:fldChar w:fldCharType="separate"/>
      </w:r>
      <w:r>
        <w:rPr>
          <w:color w:val="auto"/>
          <w:shd w:val="clear" w:color="auto" w:fill="auto"/>
        </w:rPr>
        <w:t>23</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_Toc17453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第四节  建筑基地环境</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_Toc17453 \h </w:instrText>
      </w:r>
      <w:r>
        <w:rPr>
          <w:color w:val="auto"/>
          <w:shd w:val="clear" w:color="auto" w:fill="auto"/>
        </w:rPr>
        <w:fldChar w:fldCharType="separate"/>
      </w:r>
      <w:r>
        <w:rPr>
          <w:color w:val="auto"/>
          <w:shd w:val="clear" w:color="auto" w:fill="auto"/>
        </w:rPr>
        <w:t>29</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_Toc28960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第五节  建筑其他规定</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_Toc28960 \h </w:instrText>
      </w:r>
      <w:r>
        <w:rPr>
          <w:color w:val="auto"/>
          <w:shd w:val="clear" w:color="auto" w:fill="auto"/>
        </w:rPr>
        <w:fldChar w:fldCharType="separate"/>
      </w:r>
      <w:r>
        <w:rPr>
          <w:color w:val="auto"/>
          <w:shd w:val="clear" w:color="auto" w:fill="auto"/>
        </w:rPr>
        <w:t>32</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_Toc26255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第四章 公共服务设施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_Toc26255 \h </w:instrText>
      </w:r>
      <w:r>
        <w:rPr>
          <w:color w:val="auto"/>
          <w:shd w:val="clear" w:color="auto" w:fill="auto"/>
        </w:rPr>
        <w:fldChar w:fldCharType="separate"/>
      </w:r>
      <w:r>
        <w:rPr>
          <w:color w:val="auto"/>
          <w:shd w:val="clear" w:color="auto" w:fill="auto"/>
        </w:rPr>
        <w:t>38</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_Toc11293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第五章 道路与交通设施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_Toc11293 \h </w:instrText>
      </w:r>
      <w:r>
        <w:rPr>
          <w:color w:val="auto"/>
          <w:shd w:val="clear" w:color="auto" w:fill="auto"/>
        </w:rPr>
        <w:fldChar w:fldCharType="separate"/>
      </w:r>
      <w:r>
        <w:rPr>
          <w:color w:val="auto"/>
          <w:shd w:val="clear" w:color="auto" w:fill="auto"/>
        </w:rPr>
        <w:t>46</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_Toc22992 </w:instrText>
      </w:r>
      <w:r>
        <w:rPr>
          <w:rFonts w:hint="default"/>
          <w:color w:val="auto"/>
          <w:szCs w:val="28"/>
          <w:shd w:val="clear" w:color="auto" w:fill="auto"/>
          <w:lang w:val="en-US" w:eastAsia="zh-CN"/>
        </w:rPr>
        <w:fldChar w:fldCharType="separate"/>
      </w:r>
      <w:r>
        <w:rPr>
          <w:rFonts w:hint="eastAsia"/>
          <w:bCs/>
          <w:color w:val="auto"/>
          <w:szCs w:val="36"/>
          <w:shd w:val="clear" w:color="auto" w:fill="auto"/>
          <w:lang w:val="en-US" w:eastAsia="zh-CN"/>
        </w:rPr>
        <w:t>第六章 市政公用设施及管线</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_Toc22992 \h </w:instrText>
      </w:r>
      <w:r>
        <w:rPr>
          <w:color w:val="auto"/>
          <w:shd w:val="clear" w:color="auto" w:fill="auto"/>
        </w:rPr>
        <w:fldChar w:fldCharType="separate"/>
      </w:r>
      <w:r>
        <w:rPr>
          <w:color w:val="auto"/>
          <w:shd w:val="clear" w:color="auto" w:fill="auto"/>
        </w:rPr>
        <w:t>60</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_Toc17869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第一节  供应设施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_Toc17869 \h </w:instrText>
      </w:r>
      <w:r>
        <w:rPr>
          <w:color w:val="auto"/>
          <w:shd w:val="clear" w:color="auto" w:fill="auto"/>
        </w:rPr>
        <w:fldChar w:fldCharType="separate"/>
      </w:r>
      <w:r>
        <w:rPr>
          <w:color w:val="auto"/>
          <w:shd w:val="clear" w:color="auto" w:fill="auto"/>
        </w:rPr>
        <w:t>60</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_Toc4615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第二节  环卫设施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_Toc4615 \h </w:instrText>
      </w:r>
      <w:r>
        <w:rPr>
          <w:color w:val="auto"/>
          <w:shd w:val="clear" w:color="auto" w:fill="auto"/>
        </w:rPr>
        <w:fldChar w:fldCharType="separate"/>
      </w:r>
      <w:r>
        <w:rPr>
          <w:color w:val="auto"/>
          <w:shd w:val="clear" w:color="auto" w:fill="auto"/>
        </w:rPr>
        <w:t>64</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_Toc28281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第三节  排水设施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_Toc28281 \h </w:instrText>
      </w:r>
      <w:r>
        <w:rPr>
          <w:color w:val="auto"/>
          <w:shd w:val="clear" w:color="auto" w:fill="auto"/>
        </w:rPr>
        <w:fldChar w:fldCharType="separate"/>
      </w:r>
      <w:r>
        <w:rPr>
          <w:color w:val="auto"/>
          <w:shd w:val="clear" w:color="auto" w:fill="auto"/>
        </w:rPr>
        <w:t>66</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_Toc185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第四节  市政管线</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_Toc185 \h </w:instrText>
      </w:r>
      <w:r>
        <w:rPr>
          <w:color w:val="auto"/>
          <w:shd w:val="clear" w:color="auto" w:fill="auto"/>
        </w:rPr>
        <w:fldChar w:fldCharType="separate"/>
      </w:r>
      <w:r>
        <w:rPr>
          <w:color w:val="auto"/>
          <w:shd w:val="clear" w:color="auto" w:fill="auto"/>
        </w:rPr>
        <w:t>68</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_Toc21094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第七章 城市综合防灾减灾</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_Toc21094 \h </w:instrText>
      </w:r>
      <w:r>
        <w:rPr>
          <w:color w:val="auto"/>
          <w:shd w:val="clear" w:color="auto" w:fill="auto"/>
        </w:rPr>
        <w:fldChar w:fldCharType="separate"/>
      </w:r>
      <w:r>
        <w:rPr>
          <w:color w:val="auto"/>
          <w:shd w:val="clear" w:color="auto" w:fill="auto"/>
        </w:rPr>
        <w:t>75</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_Toc1668 </w:instrText>
      </w:r>
      <w:r>
        <w:rPr>
          <w:rFonts w:hint="default"/>
          <w:color w:val="auto"/>
          <w:szCs w:val="28"/>
          <w:shd w:val="clear" w:color="auto" w:fill="auto"/>
          <w:lang w:val="en-US" w:eastAsia="zh-CN"/>
        </w:rPr>
        <w:fldChar w:fldCharType="separate"/>
      </w:r>
      <w:r>
        <w:rPr>
          <w:rFonts w:hint="eastAsia"/>
          <w:bCs/>
          <w:color w:val="auto"/>
          <w:shd w:val="clear" w:color="auto" w:fill="auto"/>
        </w:rPr>
        <w:t>第一节  城市抗震防灾工程</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_Toc1668 \h </w:instrText>
      </w:r>
      <w:r>
        <w:rPr>
          <w:color w:val="auto"/>
          <w:shd w:val="clear" w:color="auto" w:fill="auto"/>
        </w:rPr>
        <w:fldChar w:fldCharType="separate"/>
      </w:r>
      <w:r>
        <w:rPr>
          <w:color w:val="auto"/>
          <w:shd w:val="clear" w:color="auto" w:fill="auto"/>
        </w:rPr>
        <w:t>75</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_Toc26470 </w:instrText>
      </w:r>
      <w:r>
        <w:rPr>
          <w:rFonts w:hint="default"/>
          <w:color w:val="auto"/>
          <w:szCs w:val="28"/>
          <w:shd w:val="clear" w:color="auto" w:fill="auto"/>
          <w:lang w:val="en-US" w:eastAsia="zh-CN"/>
        </w:rPr>
        <w:fldChar w:fldCharType="separate"/>
      </w:r>
      <w:r>
        <w:rPr>
          <w:rFonts w:hint="eastAsia"/>
          <w:bCs/>
          <w:color w:val="auto"/>
          <w:shd w:val="clear" w:color="auto" w:fill="auto"/>
        </w:rPr>
        <w:t>第二节  城市消防</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_Toc26470 \h </w:instrText>
      </w:r>
      <w:r>
        <w:rPr>
          <w:color w:val="auto"/>
          <w:shd w:val="clear" w:color="auto" w:fill="auto"/>
        </w:rPr>
        <w:fldChar w:fldCharType="separate"/>
      </w:r>
      <w:r>
        <w:rPr>
          <w:color w:val="auto"/>
          <w:shd w:val="clear" w:color="auto" w:fill="auto"/>
        </w:rPr>
        <w:t>77</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_Toc8955 </w:instrText>
      </w:r>
      <w:r>
        <w:rPr>
          <w:rFonts w:hint="default"/>
          <w:color w:val="auto"/>
          <w:szCs w:val="28"/>
          <w:shd w:val="clear" w:color="auto" w:fill="auto"/>
          <w:lang w:val="en-US" w:eastAsia="zh-CN"/>
        </w:rPr>
        <w:fldChar w:fldCharType="separate"/>
      </w:r>
      <w:r>
        <w:rPr>
          <w:rFonts w:hint="eastAsia"/>
          <w:bCs/>
          <w:color w:val="auto"/>
          <w:shd w:val="clear" w:color="auto" w:fill="auto"/>
        </w:rPr>
        <w:t>第</w:t>
      </w:r>
      <w:r>
        <w:rPr>
          <w:rFonts w:hint="eastAsia"/>
          <w:bCs/>
          <w:color w:val="auto"/>
          <w:shd w:val="clear" w:color="auto" w:fill="auto"/>
          <w:lang w:eastAsia="zh-CN"/>
        </w:rPr>
        <w:t>三</w:t>
      </w:r>
      <w:r>
        <w:rPr>
          <w:rFonts w:hint="eastAsia"/>
          <w:bCs/>
          <w:color w:val="auto"/>
          <w:shd w:val="clear" w:color="auto" w:fill="auto"/>
        </w:rPr>
        <w:t>节  城市防洪排涝</w:t>
      </w:r>
      <w:r>
        <w:rPr>
          <w:color w:val="auto"/>
          <w:shd w:val="clear" w:color="auto" w:fill="auto"/>
        </w:rPr>
        <w:tab/>
      </w:r>
      <w:r>
        <w:rPr>
          <w:color w:val="auto"/>
          <w:shd w:val="clear" w:color="auto" w:fill="auto"/>
        </w:rPr>
        <w:fldChar w:fldCharType="begin"/>
      </w:r>
      <w:r>
        <w:rPr>
          <w:color w:val="auto"/>
          <w:shd w:val="clear" w:color="auto" w:fill="auto"/>
        </w:rPr>
        <w:instrText xml:space="preserve"> PAGEREF _Toc8955 \h </w:instrText>
      </w:r>
      <w:r>
        <w:rPr>
          <w:color w:val="auto"/>
          <w:shd w:val="clear" w:color="auto" w:fill="auto"/>
        </w:rPr>
        <w:fldChar w:fldCharType="separate"/>
      </w:r>
      <w:r>
        <w:rPr>
          <w:color w:val="auto"/>
          <w:shd w:val="clear" w:color="auto" w:fill="auto"/>
        </w:rPr>
        <w:t>79</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_Toc5056 </w:instrText>
      </w:r>
      <w:r>
        <w:rPr>
          <w:rFonts w:hint="default"/>
          <w:color w:val="auto"/>
          <w:szCs w:val="28"/>
          <w:shd w:val="clear" w:color="auto" w:fill="auto"/>
          <w:lang w:val="en-US" w:eastAsia="zh-CN"/>
        </w:rPr>
        <w:fldChar w:fldCharType="separate"/>
      </w:r>
      <w:r>
        <w:rPr>
          <w:rFonts w:hint="eastAsia"/>
          <w:bCs/>
          <w:color w:val="auto"/>
          <w:shd w:val="clear" w:color="auto" w:fill="auto"/>
        </w:rPr>
        <w:t>第</w:t>
      </w:r>
      <w:r>
        <w:rPr>
          <w:rFonts w:hint="eastAsia"/>
          <w:bCs/>
          <w:color w:val="auto"/>
          <w:shd w:val="clear" w:color="auto" w:fill="auto"/>
          <w:lang w:eastAsia="zh-CN"/>
        </w:rPr>
        <w:t>四</w:t>
      </w:r>
      <w:r>
        <w:rPr>
          <w:rFonts w:hint="eastAsia"/>
          <w:bCs/>
          <w:color w:val="auto"/>
          <w:shd w:val="clear" w:color="auto" w:fill="auto"/>
        </w:rPr>
        <w:t>节  重大危险设施灾害防治与人防</w:t>
      </w:r>
      <w:r>
        <w:rPr>
          <w:color w:val="auto"/>
          <w:shd w:val="clear" w:color="auto" w:fill="auto"/>
        </w:rPr>
        <w:tab/>
      </w:r>
      <w:r>
        <w:rPr>
          <w:color w:val="auto"/>
          <w:shd w:val="clear" w:color="auto" w:fill="auto"/>
        </w:rPr>
        <w:fldChar w:fldCharType="begin"/>
      </w:r>
      <w:r>
        <w:rPr>
          <w:color w:val="auto"/>
          <w:shd w:val="clear" w:color="auto" w:fill="auto"/>
        </w:rPr>
        <w:instrText xml:space="preserve"> PAGEREF _Toc5056 \h </w:instrText>
      </w:r>
      <w:r>
        <w:rPr>
          <w:color w:val="auto"/>
          <w:shd w:val="clear" w:color="auto" w:fill="auto"/>
        </w:rPr>
        <w:fldChar w:fldCharType="separate"/>
      </w:r>
      <w:r>
        <w:rPr>
          <w:color w:val="auto"/>
          <w:shd w:val="clear" w:color="auto" w:fill="auto"/>
        </w:rPr>
        <w:t>82</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_Toc23640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第八章 城市空域保护与地下空间开发利用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_Toc23640 \h </w:instrText>
      </w:r>
      <w:r>
        <w:rPr>
          <w:color w:val="auto"/>
          <w:shd w:val="clear" w:color="auto" w:fill="auto"/>
        </w:rPr>
        <w:fldChar w:fldCharType="separate"/>
      </w:r>
      <w:r>
        <w:rPr>
          <w:color w:val="auto"/>
          <w:shd w:val="clear" w:color="auto" w:fill="auto"/>
        </w:rPr>
        <w:t>83</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_Toc24967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第九章 生态保护与城市景观</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_Toc24967 \h </w:instrText>
      </w:r>
      <w:r>
        <w:rPr>
          <w:color w:val="auto"/>
          <w:shd w:val="clear" w:color="auto" w:fill="auto"/>
        </w:rPr>
        <w:fldChar w:fldCharType="separate"/>
      </w:r>
      <w:r>
        <w:rPr>
          <w:color w:val="auto"/>
          <w:shd w:val="clear" w:color="auto" w:fill="auto"/>
        </w:rPr>
        <w:t>88</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_Toc26115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第一节  生态保护</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_Toc26115 \h </w:instrText>
      </w:r>
      <w:r>
        <w:rPr>
          <w:color w:val="auto"/>
          <w:shd w:val="clear" w:color="auto" w:fill="auto"/>
        </w:rPr>
        <w:fldChar w:fldCharType="separate"/>
      </w:r>
      <w:r>
        <w:rPr>
          <w:color w:val="auto"/>
          <w:shd w:val="clear" w:color="auto" w:fill="auto"/>
        </w:rPr>
        <w:t>88</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_Toc18853 </w:instrText>
      </w:r>
      <w:r>
        <w:rPr>
          <w:rFonts w:hint="default"/>
          <w:color w:val="auto"/>
          <w:szCs w:val="28"/>
          <w:shd w:val="clear" w:color="auto" w:fill="auto"/>
          <w:lang w:val="en-US" w:eastAsia="zh-CN"/>
        </w:rPr>
        <w:fldChar w:fldCharType="separate"/>
      </w:r>
      <w:r>
        <w:rPr>
          <w:rFonts w:hint="eastAsia"/>
          <w:bCs/>
          <w:color w:val="auto"/>
          <w:shd w:val="clear" w:color="auto" w:fill="auto"/>
          <w:lang w:val="en-US" w:eastAsia="zh-CN"/>
        </w:rPr>
        <w:t>第二节  城市景观</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_Toc18853 \h </w:instrText>
      </w:r>
      <w:r>
        <w:rPr>
          <w:color w:val="auto"/>
          <w:shd w:val="clear" w:color="auto" w:fill="auto"/>
        </w:rPr>
        <w:fldChar w:fldCharType="separate"/>
      </w:r>
      <w:r>
        <w:rPr>
          <w:color w:val="auto"/>
          <w:shd w:val="clear" w:color="auto" w:fill="auto"/>
        </w:rPr>
        <w:t>89</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_Toc1012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 xml:space="preserve">第十章 </w:t>
      </w:r>
      <w:r>
        <w:rPr>
          <w:rFonts w:hint="eastAsia"/>
          <w:color w:val="auto"/>
          <w:szCs w:val="36"/>
          <w:shd w:val="clear" w:color="auto" w:fill="auto"/>
          <w:lang w:val="zh-CN" w:eastAsia="zh-CN"/>
        </w:rPr>
        <w:t>历史文化保护</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_Toc1012 \h </w:instrText>
      </w:r>
      <w:r>
        <w:rPr>
          <w:color w:val="auto"/>
          <w:shd w:val="clear" w:color="auto" w:fill="auto"/>
        </w:rPr>
        <w:fldChar w:fldCharType="separate"/>
      </w:r>
      <w:r>
        <w:rPr>
          <w:color w:val="auto"/>
          <w:shd w:val="clear" w:color="auto" w:fill="auto"/>
        </w:rPr>
        <w:t>92</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_Toc15380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zh-CN"/>
        </w:rPr>
        <w:t xml:space="preserve">第十一章 </w:t>
      </w:r>
      <w:r>
        <w:rPr>
          <w:color w:val="auto"/>
          <w:szCs w:val="36"/>
          <w:shd w:val="clear" w:color="auto" w:fill="auto"/>
          <w:lang w:val="zh-CN"/>
        </w:rPr>
        <w:t>镇规划管理</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_Toc15380 \h </w:instrText>
      </w:r>
      <w:r>
        <w:rPr>
          <w:color w:val="auto"/>
          <w:shd w:val="clear" w:color="auto" w:fill="auto"/>
        </w:rPr>
        <w:fldChar w:fldCharType="separate"/>
      </w:r>
      <w:r>
        <w:rPr>
          <w:color w:val="auto"/>
          <w:shd w:val="clear" w:color="auto" w:fill="auto"/>
        </w:rPr>
        <w:t>95</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_Toc23163 </w:instrText>
      </w:r>
      <w:r>
        <w:rPr>
          <w:rFonts w:hint="default"/>
          <w:color w:val="auto"/>
          <w:szCs w:val="28"/>
          <w:shd w:val="clear" w:color="auto" w:fill="auto"/>
          <w:lang w:val="en-US" w:eastAsia="zh-CN"/>
        </w:rPr>
        <w:fldChar w:fldCharType="separate"/>
      </w:r>
      <w:r>
        <w:rPr>
          <w:rFonts w:hint="eastAsia"/>
          <w:bCs/>
          <w:color w:val="auto"/>
          <w:shd w:val="clear" w:color="auto" w:fill="auto"/>
          <w:lang w:val="zh-CN"/>
        </w:rPr>
        <w:t>第一节  建筑管理</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_Toc23163 \h </w:instrText>
      </w:r>
      <w:r>
        <w:rPr>
          <w:color w:val="auto"/>
          <w:shd w:val="clear" w:color="auto" w:fill="auto"/>
        </w:rPr>
        <w:fldChar w:fldCharType="separate"/>
      </w:r>
      <w:r>
        <w:rPr>
          <w:color w:val="auto"/>
          <w:shd w:val="clear" w:color="auto" w:fill="auto"/>
        </w:rPr>
        <w:t>95</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_Toc30502 </w:instrText>
      </w:r>
      <w:r>
        <w:rPr>
          <w:rFonts w:hint="default"/>
          <w:color w:val="auto"/>
          <w:szCs w:val="28"/>
          <w:shd w:val="clear" w:color="auto" w:fill="auto"/>
          <w:lang w:val="en-US" w:eastAsia="zh-CN"/>
        </w:rPr>
        <w:fldChar w:fldCharType="separate"/>
      </w:r>
      <w:r>
        <w:rPr>
          <w:rFonts w:hint="eastAsia"/>
          <w:bCs/>
          <w:color w:val="auto"/>
          <w:shd w:val="clear" w:color="auto" w:fill="auto"/>
          <w:lang w:val="zh-CN"/>
        </w:rPr>
        <w:t>第二节  公共管理与公共服务设施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_Toc30502 \h </w:instrText>
      </w:r>
      <w:r>
        <w:rPr>
          <w:color w:val="auto"/>
          <w:shd w:val="clear" w:color="auto" w:fill="auto"/>
        </w:rPr>
        <w:fldChar w:fldCharType="separate"/>
      </w:r>
      <w:r>
        <w:rPr>
          <w:color w:val="auto"/>
          <w:shd w:val="clear" w:color="auto" w:fill="auto"/>
        </w:rPr>
        <w:t>96</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_Toc5363 </w:instrText>
      </w:r>
      <w:r>
        <w:rPr>
          <w:rFonts w:hint="default"/>
          <w:color w:val="auto"/>
          <w:szCs w:val="28"/>
          <w:shd w:val="clear" w:color="auto" w:fill="auto"/>
          <w:lang w:val="en-US" w:eastAsia="zh-CN"/>
        </w:rPr>
        <w:fldChar w:fldCharType="separate"/>
      </w:r>
      <w:r>
        <w:rPr>
          <w:rFonts w:hint="eastAsia"/>
          <w:bCs/>
          <w:color w:val="auto"/>
          <w:shd w:val="clear" w:color="auto" w:fill="auto"/>
          <w:lang w:val="zh-CN"/>
        </w:rPr>
        <w:t>第三节  道路交通</w:t>
      </w:r>
      <w:r>
        <w:rPr>
          <w:color w:val="auto"/>
          <w:shd w:val="clear" w:color="auto" w:fill="auto"/>
        </w:rPr>
        <w:tab/>
      </w:r>
      <w:r>
        <w:rPr>
          <w:color w:val="auto"/>
          <w:shd w:val="clear" w:color="auto" w:fill="auto"/>
        </w:rPr>
        <w:fldChar w:fldCharType="begin"/>
      </w:r>
      <w:r>
        <w:rPr>
          <w:color w:val="auto"/>
          <w:shd w:val="clear" w:color="auto" w:fill="auto"/>
        </w:rPr>
        <w:instrText xml:space="preserve"> PAGEREF _Toc5363 \h </w:instrText>
      </w:r>
      <w:r>
        <w:rPr>
          <w:color w:val="auto"/>
          <w:shd w:val="clear" w:color="auto" w:fill="auto"/>
        </w:rPr>
        <w:fldChar w:fldCharType="separate"/>
      </w:r>
      <w:r>
        <w:rPr>
          <w:color w:val="auto"/>
          <w:shd w:val="clear" w:color="auto" w:fill="auto"/>
        </w:rPr>
        <w:t>98</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_Toc3533 </w:instrText>
      </w:r>
      <w:r>
        <w:rPr>
          <w:rFonts w:hint="default"/>
          <w:color w:val="auto"/>
          <w:szCs w:val="28"/>
          <w:shd w:val="clear" w:color="auto" w:fill="auto"/>
          <w:lang w:val="en-US" w:eastAsia="zh-CN"/>
        </w:rPr>
        <w:fldChar w:fldCharType="separate"/>
      </w:r>
      <w:r>
        <w:rPr>
          <w:rFonts w:hint="eastAsia"/>
          <w:bCs/>
          <w:color w:val="auto"/>
          <w:shd w:val="clear" w:color="auto" w:fill="auto"/>
          <w:lang w:val="zh-CN"/>
        </w:rPr>
        <w:t>第四节  公用设施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_Toc3533 \h </w:instrText>
      </w:r>
      <w:r>
        <w:rPr>
          <w:color w:val="auto"/>
          <w:shd w:val="clear" w:color="auto" w:fill="auto"/>
        </w:rPr>
        <w:fldChar w:fldCharType="separate"/>
      </w:r>
      <w:r>
        <w:rPr>
          <w:color w:val="auto"/>
          <w:shd w:val="clear" w:color="auto" w:fill="auto"/>
        </w:rPr>
        <w:t>98</w:t>
      </w:r>
      <w:r>
        <w:rPr>
          <w:color w:val="auto"/>
          <w:shd w:val="clear" w:color="auto" w:fill="auto"/>
        </w:rPr>
        <w:fldChar w:fldCharType="end"/>
      </w:r>
      <w:r>
        <w:rPr>
          <w:rFonts w:hint="default"/>
          <w:color w:val="auto"/>
          <w:szCs w:val="28"/>
          <w:shd w:val="clear" w:color="auto" w:fill="auto"/>
          <w:lang w:val="en-US" w:eastAsia="zh-CN"/>
        </w:rPr>
        <w:fldChar w:fldCharType="end"/>
      </w:r>
    </w:p>
    <w:p>
      <w:pPr>
        <w:pStyle w:val="10"/>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_Toc25454 </w:instrText>
      </w:r>
      <w:r>
        <w:rPr>
          <w:rFonts w:hint="default"/>
          <w:color w:val="auto"/>
          <w:szCs w:val="28"/>
          <w:shd w:val="clear" w:color="auto" w:fill="auto"/>
          <w:lang w:val="en-US" w:eastAsia="zh-CN"/>
        </w:rPr>
        <w:fldChar w:fldCharType="separate"/>
      </w:r>
      <w:r>
        <w:rPr>
          <w:rFonts w:hint="eastAsia"/>
          <w:bCs/>
          <w:color w:val="auto"/>
          <w:shd w:val="clear" w:color="auto" w:fill="auto"/>
          <w:lang w:val="zh-CN"/>
        </w:rPr>
        <w:t>第五节  综合防灾</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_Toc25454 \h </w:instrText>
      </w:r>
      <w:r>
        <w:rPr>
          <w:color w:val="auto"/>
          <w:shd w:val="clear" w:color="auto" w:fill="auto"/>
        </w:rPr>
        <w:fldChar w:fldCharType="separate"/>
      </w:r>
      <w:r>
        <w:rPr>
          <w:color w:val="auto"/>
          <w:shd w:val="clear" w:color="auto" w:fill="auto"/>
        </w:rPr>
        <w:t>101</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_Toc15666 </w:instrText>
      </w:r>
      <w:r>
        <w:rPr>
          <w:rFonts w:hint="default"/>
          <w:color w:val="auto"/>
          <w:szCs w:val="28"/>
          <w:shd w:val="clear" w:color="auto" w:fill="auto"/>
          <w:lang w:val="en-US" w:eastAsia="zh-CN"/>
        </w:rPr>
        <w:fldChar w:fldCharType="separate"/>
      </w:r>
      <w:r>
        <w:rPr>
          <w:rFonts w:hint="eastAsia"/>
          <w:color w:val="auto"/>
          <w:szCs w:val="36"/>
          <w:shd w:val="clear" w:color="auto" w:fill="auto"/>
          <w:lang w:val="en-US" w:eastAsia="zh-CN"/>
        </w:rPr>
        <w:t>第十二章 附  则</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_Toc15666 \h </w:instrText>
      </w:r>
      <w:r>
        <w:rPr>
          <w:color w:val="auto"/>
          <w:shd w:val="clear" w:color="auto" w:fill="auto"/>
        </w:rPr>
        <w:fldChar w:fldCharType="separate"/>
      </w:r>
      <w:r>
        <w:rPr>
          <w:color w:val="auto"/>
          <w:shd w:val="clear" w:color="auto" w:fill="auto"/>
        </w:rPr>
        <w:t>103</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_Toc3675 </w:instrText>
      </w:r>
      <w:r>
        <w:rPr>
          <w:rFonts w:hint="default"/>
          <w:color w:val="auto"/>
          <w:szCs w:val="28"/>
          <w:shd w:val="clear" w:color="auto" w:fill="auto"/>
          <w:lang w:val="en-US" w:eastAsia="zh-CN"/>
        </w:rPr>
        <w:fldChar w:fldCharType="separate"/>
      </w:r>
      <w:r>
        <w:rPr>
          <w:rFonts w:hint="eastAsia" w:ascii="宋体" w:hAnsi="宋体" w:eastAsia="宋体" w:cs="宋体"/>
          <w:color w:val="auto"/>
          <w:szCs w:val="32"/>
          <w:shd w:val="clear" w:color="auto" w:fill="auto"/>
        </w:rPr>
        <w:t>附</w:t>
      </w:r>
      <w:r>
        <w:rPr>
          <w:rFonts w:hint="eastAsia" w:ascii="宋体" w:hAnsi="宋体" w:eastAsia="宋体" w:cs="宋体"/>
          <w:color w:val="auto"/>
          <w:szCs w:val="32"/>
          <w:shd w:val="clear" w:color="auto" w:fill="auto"/>
          <w:lang w:val="en-US" w:eastAsia="zh-CN"/>
        </w:rPr>
        <w:t>表</w:t>
      </w:r>
      <w:r>
        <w:rPr>
          <w:rFonts w:hint="eastAsia" w:cs="宋体"/>
          <w:color w:val="auto"/>
          <w:szCs w:val="32"/>
          <w:shd w:val="clear" w:color="auto" w:fill="auto"/>
          <w:lang w:val="en-US" w:eastAsia="zh-CN"/>
        </w:rPr>
        <w:t xml:space="preserve"> 1</w:t>
      </w:r>
      <w:r>
        <w:rPr>
          <w:rFonts w:hint="eastAsia" w:ascii="宋体" w:hAnsi="宋体" w:eastAsia="宋体" w:cs="宋体"/>
          <w:color w:val="auto"/>
          <w:szCs w:val="32"/>
          <w:shd w:val="clear" w:color="auto" w:fill="auto"/>
          <w:lang w:val="en-US" w:eastAsia="zh-CN"/>
        </w:rPr>
        <w:t>：</w:t>
      </w:r>
      <w:r>
        <w:rPr>
          <w:rFonts w:hint="eastAsia" w:ascii="宋体" w:hAnsi="宋体" w:eastAsia="宋体" w:cs="宋体"/>
          <w:color w:val="auto"/>
          <w:szCs w:val="32"/>
          <w:shd w:val="clear" w:color="auto" w:fill="auto"/>
        </w:rPr>
        <w:t>各类建设用地适建范围表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_Toc3675 \h </w:instrText>
      </w:r>
      <w:r>
        <w:rPr>
          <w:color w:val="auto"/>
          <w:shd w:val="clear" w:color="auto" w:fill="auto"/>
        </w:rPr>
        <w:fldChar w:fldCharType="separate"/>
      </w:r>
      <w:r>
        <w:rPr>
          <w:color w:val="auto"/>
          <w:shd w:val="clear" w:color="auto" w:fill="auto"/>
        </w:rPr>
        <w:t>105</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_Toc29746 </w:instrText>
      </w:r>
      <w:r>
        <w:rPr>
          <w:rFonts w:hint="default"/>
          <w:color w:val="auto"/>
          <w:szCs w:val="28"/>
          <w:shd w:val="clear" w:color="auto" w:fill="auto"/>
          <w:lang w:val="en-US" w:eastAsia="zh-CN"/>
        </w:rPr>
        <w:fldChar w:fldCharType="separate"/>
      </w:r>
      <w:r>
        <w:rPr>
          <w:rFonts w:hint="eastAsia" w:ascii="宋体" w:hAnsi="宋体" w:eastAsia="宋体" w:cs="宋体"/>
          <w:color w:val="auto"/>
          <w:szCs w:val="32"/>
          <w:shd w:val="clear" w:color="auto" w:fill="auto"/>
        </w:rPr>
        <w:t>附</w:t>
      </w:r>
      <w:r>
        <w:rPr>
          <w:rFonts w:hint="eastAsia" w:ascii="宋体" w:hAnsi="宋体" w:eastAsia="宋体" w:cs="宋体"/>
          <w:color w:val="auto"/>
          <w:szCs w:val="32"/>
          <w:shd w:val="clear" w:color="auto" w:fill="auto"/>
          <w:lang w:val="en-US" w:eastAsia="zh-CN"/>
        </w:rPr>
        <w:t>表 2：用地分类名称、代码和含义</w:t>
      </w:r>
      <w:r>
        <w:rPr>
          <w:rFonts w:hint="eastAsia" w:ascii="宋体" w:hAnsi="宋体" w:eastAsia="宋体" w:cs="宋体"/>
          <w:color w:val="auto"/>
          <w:szCs w:val="32"/>
          <w:shd w:val="clear" w:color="auto" w:fill="auto"/>
        </w:rPr>
        <w:t>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_Toc29746 \h </w:instrText>
      </w:r>
      <w:r>
        <w:rPr>
          <w:color w:val="auto"/>
          <w:shd w:val="clear" w:color="auto" w:fill="auto"/>
        </w:rPr>
        <w:fldChar w:fldCharType="separate"/>
      </w:r>
      <w:r>
        <w:rPr>
          <w:color w:val="auto"/>
          <w:shd w:val="clear" w:color="auto" w:fill="auto"/>
        </w:rPr>
        <w:t>109</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_Toc6317 </w:instrText>
      </w:r>
      <w:r>
        <w:rPr>
          <w:rFonts w:hint="default"/>
          <w:color w:val="auto"/>
          <w:szCs w:val="28"/>
          <w:shd w:val="clear" w:color="auto" w:fill="auto"/>
          <w:lang w:val="en-US" w:eastAsia="zh-CN"/>
        </w:rPr>
        <w:fldChar w:fldCharType="separate"/>
      </w:r>
      <w:r>
        <w:rPr>
          <w:rFonts w:hint="eastAsia" w:ascii="宋体" w:hAnsi="宋体" w:eastAsia="宋体" w:cs="宋体"/>
          <w:color w:val="auto"/>
          <w:szCs w:val="32"/>
          <w:shd w:val="clear" w:color="auto" w:fill="auto"/>
        </w:rPr>
        <w:t>附录一：附则与说明</w:t>
      </w:r>
      <w:r>
        <w:rPr>
          <w:color w:val="auto"/>
          <w:shd w:val="clear" w:color="auto" w:fill="auto"/>
        </w:rPr>
        <w:tab/>
      </w:r>
      <w:r>
        <w:rPr>
          <w:color w:val="auto"/>
          <w:shd w:val="clear" w:color="auto" w:fill="auto"/>
        </w:rPr>
        <w:fldChar w:fldCharType="begin"/>
      </w:r>
      <w:r>
        <w:rPr>
          <w:color w:val="auto"/>
          <w:shd w:val="clear" w:color="auto" w:fill="auto"/>
        </w:rPr>
        <w:instrText xml:space="preserve"> PAGEREF _Toc6317 \h </w:instrText>
      </w:r>
      <w:r>
        <w:rPr>
          <w:color w:val="auto"/>
          <w:shd w:val="clear" w:color="auto" w:fill="auto"/>
        </w:rPr>
        <w:fldChar w:fldCharType="separate"/>
      </w:r>
      <w:r>
        <w:rPr>
          <w:color w:val="auto"/>
          <w:shd w:val="clear" w:color="auto" w:fill="auto"/>
        </w:rPr>
        <w:t>117</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color w:val="auto"/>
          <w:shd w:val="clear" w:color="auto" w:fill="auto"/>
        </w:rPr>
      </w:pPr>
      <w:r>
        <w:rPr>
          <w:rFonts w:hint="default"/>
          <w:color w:val="auto"/>
          <w:szCs w:val="28"/>
          <w:shd w:val="clear" w:color="auto" w:fill="auto"/>
          <w:lang w:val="en-US" w:eastAsia="zh-CN"/>
        </w:rPr>
        <w:fldChar w:fldCharType="begin"/>
      </w:r>
      <w:r>
        <w:rPr>
          <w:rFonts w:hint="default"/>
          <w:color w:val="auto"/>
          <w:szCs w:val="28"/>
          <w:shd w:val="clear" w:color="auto" w:fill="auto"/>
          <w:lang w:val="en-US" w:eastAsia="zh-CN"/>
        </w:rPr>
        <w:instrText xml:space="preserve"> HYPERLINK \l _Toc17256 </w:instrText>
      </w:r>
      <w:r>
        <w:rPr>
          <w:rFonts w:hint="default"/>
          <w:color w:val="auto"/>
          <w:szCs w:val="28"/>
          <w:shd w:val="clear" w:color="auto" w:fill="auto"/>
          <w:lang w:val="en-US" w:eastAsia="zh-CN"/>
        </w:rPr>
        <w:fldChar w:fldCharType="separate"/>
      </w:r>
      <w:r>
        <w:rPr>
          <w:rFonts w:hint="eastAsia" w:ascii="宋体" w:hAnsi="宋体" w:eastAsia="宋体" w:cs="宋体"/>
          <w:color w:val="auto"/>
          <w:szCs w:val="32"/>
          <w:shd w:val="clear" w:color="auto" w:fill="auto"/>
        </w:rPr>
        <w:t>附录二：名词解释</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_Toc17256 \h </w:instrText>
      </w:r>
      <w:r>
        <w:rPr>
          <w:color w:val="auto"/>
          <w:shd w:val="clear" w:color="auto" w:fill="auto"/>
        </w:rPr>
        <w:fldChar w:fldCharType="separate"/>
      </w:r>
      <w:r>
        <w:rPr>
          <w:color w:val="auto"/>
          <w:shd w:val="clear" w:color="auto" w:fill="auto"/>
        </w:rPr>
        <w:t>118</w:t>
      </w:r>
      <w:r>
        <w:rPr>
          <w:color w:val="auto"/>
          <w:shd w:val="clear" w:color="auto" w:fill="auto"/>
        </w:rPr>
        <w:fldChar w:fldCharType="end"/>
      </w:r>
      <w:r>
        <w:rPr>
          <w:rFonts w:hint="default"/>
          <w:color w:val="auto"/>
          <w:szCs w:val="28"/>
          <w:shd w:val="clear" w:color="auto" w:fill="auto"/>
          <w:lang w:val="en-US" w:eastAsia="zh-CN"/>
        </w:rPr>
        <w:fldChar w:fldCharType="end"/>
      </w:r>
    </w:p>
    <w:p>
      <w:pPr>
        <w:pStyle w:val="9"/>
        <w:tabs>
          <w:tab w:val="right" w:leader="dot" w:pos="9100"/>
        </w:tabs>
        <w:rPr>
          <w:rFonts w:hint="eastAsia"/>
          <w:b w:val="0"/>
          <w:bCs w:val="0"/>
          <w:color w:val="auto"/>
          <w:sz w:val="10"/>
          <w:szCs w:val="10"/>
          <w:shd w:val="clear" w:color="auto" w:fill="auto"/>
        </w:rPr>
      </w:pPr>
      <w:r>
        <w:rPr>
          <w:rFonts w:hint="default"/>
          <w:color w:val="auto"/>
          <w:szCs w:val="28"/>
          <w:shd w:val="clear" w:color="auto" w:fill="auto"/>
          <w:lang w:val="en-US" w:eastAsia="zh-CN"/>
        </w:rPr>
        <w:fldChar w:fldCharType="end"/>
      </w:r>
      <w:bookmarkStart w:id="0" w:name="_Toc13900"/>
    </w:p>
    <w:p>
      <w:pPr>
        <w:pStyle w:val="2"/>
        <w:numPr>
          <w:ilvl w:val="0"/>
          <w:numId w:val="3"/>
        </w:numPr>
        <w:bidi w:val="0"/>
        <w:jc w:val="center"/>
        <w:rPr>
          <w:rFonts w:hint="eastAsia"/>
          <w:color w:val="auto"/>
          <w:sz w:val="36"/>
          <w:szCs w:val="36"/>
          <w:shd w:val="clear" w:color="auto" w:fill="auto"/>
          <w:lang w:val="en-US" w:eastAsia="zh-CN"/>
        </w:rPr>
        <w:sectPr>
          <w:footerReference r:id="rId5" w:type="default"/>
          <w:pgSz w:w="12240" w:h="15840"/>
          <w:pgMar w:top="1420" w:right="1560" w:bottom="1120" w:left="1580" w:header="745" w:footer="921" w:gutter="0"/>
          <w:pgBorders>
            <w:top w:val="none" w:sz="0" w:space="0"/>
            <w:left w:val="none" w:sz="0" w:space="0"/>
            <w:bottom w:val="none" w:sz="0" w:space="0"/>
            <w:right w:val="none" w:sz="0" w:space="0"/>
          </w:pgBorders>
          <w:pgNumType w:fmt="decimal" w:start="1"/>
          <w:cols w:space="720" w:num="1"/>
        </w:sectPr>
      </w:pPr>
      <w:bookmarkStart w:id="1" w:name="_Toc28047"/>
    </w:p>
    <w:p>
      <w:pPr>
        <w:pStyle w:val="2"/>
        <w:numPr>
          <w:ilvl w:val="0"/>
          <w:numId w:val="3"/>
        </w:numPr>
        <w:bidi w:val="0"/>
        <w:jc w:val="center"/>
        <w:rPr>
          <w:rFonts w:hint="eastAsia"/>
          <w:color w:val="auto"/>
          <w:sz w:val="36"/>
          <w:szCs w:val="36"/>
          <w:shd w:val="clear" w:color="auto" w:fill="auto"/>
          <w:lang w:val="en-US" w:eastAsia="zh-CN"/>
        </w:rPr>
      </w:pPr>
      <w:bookmarkStart w:id="2" w:name="_Toc24571"/>
      <w:r>
        <w:rPr>
          <w:rFonts w:hint="eastAsia"/>
          <w:color w:val="auto"/>
          <w:sz w:val="36"/>
          <w:szCs w:val="36"/>
          <w:shd w:val="clear" w:color="auto" w:fill="auto"/>
          <w:lang w:val="en-US" w:eastAsia="zh-CN"/>
        </w:rPr>
        <w:t>总  则</w:t>
      </w:r>
      <w:bookmarkEnd w:id="1"/>
      <w:bookmarkEnd w:id="2"/>
    </w:p>
    <w:p>
      <w:pPr>
        <w:numPr>
          <w:ilvl w:val="0"/>
          <w:numId w:val="0"/>
        </w:numPr>
        <w:rPr>
          <w:rFonts w:hint="eastAsia"/>
          <w:color w:val="auto"/>
          <w:shd w:val="clear" w:color="auto" w:fill="auto"/>
          <w:lang w:val="en-US" w:eastAsia="zh-CN"/>
        </w:rPr>
      </w:pPr>
    </w:p>
    <w:p>
      <w:pPr>
        <w:pStyle w:val="11"/>
        <w:keepNext w:val="0"/>
        <w:keepLines w:val="0"/>
        <w:pageBreakBefore w:val="0"/>
        <w:widowControl/>
        <w:numPr>
          <w:ilvl w:val="1"/>
          <w:numId w:val="4"/>
        </w:numPr>
        <w:suppressLineNumbers w:val="0"/>
        <w:shd w:val="clear" w:fill="FFFFFF"/>
        <w:kinsoku/>
        <w:wordWrap/>
        <w:overflowPunct/>
        <w:topLinePunct w:val="0"/>
        <w:bidi w:val="0"/>
        <w:spacing w:before="0" w:beforeAutospacing="0" w:after="0" w:afterAutospacing="0" w:line="600" w:lineRule="atLeast"/>
        <w:ind w:left="30" w:leftChars="0" w:right="0" w:firstLine="600" w:firstLineChars="0"/>
        <w:jc w:val="both"/>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为了加强城镇建设规划管理，保证城镇规划实施，根据《中华人民共和国土地管理法》、《中华人民共和国城乡规划法》、《湖南省实施〈中华人民共和国土地管理法〉办法》、《湖南省实施〈中华人民共和国城乡规划法〉办法》等国土空间规划相关的法律、法规、规范、标准和《湘西土家族苗族自治州国土空间总体规划》，结合湘西土家族苗族自治州（以下简称湘西自治州）实际，制定本规定。</w:t>
      </w:r>
    </w:p>
    <w:p>
      <w:pPr>
        <w:pStyle w:val="11"/>
        <w:keepNext w:val="0"/>
        <w:keepLines w:val="0"/>
        <w:pageBreakBefore w:val="0"/>
        <w:widowControl/>
        <w:numPr>
          <w:ilvl w:val="1"/>
          <w:numId w:val="4"/>
        </w:numPr>
        <w:suppressLineNumbers w:val="0"/>
        <w:shd w:val="clear" w:fill="FFFFFF"/>
        <w:kinsoku/>
        <w:wordWrap/>
        <w:overflowPunct/>
        <w:topLinePunct w:val="0"/>
        <w:bidi w:val="0"/>
        <w:spacing w:before="0" w:beforeAutospacing="0" w:after="0" w:afterAutospacing="0" w:line="600" w:lineRule="atLeast"/>
        <w:ind w:left="30" w:leftChars="0" w:right="0" w:firstLine="600" w:firstLineChars="0"/>
        <w:jc w:val="both"/>
        <w:rPr>
          <w:rFonts w:hint="eastAsia" w:ascii="仿宋_GB2312" w:hAnsi="仿宋_GB2312" w:eastAsia="仿宋_GB2312" w:cs="仿宋_GB2312"/>
          <w:b w:val="0"/>
          <w:bCs w:val="0"/>
          <w:i w:val="0"/>
          <w:iCs w:val="0"/>
          <w:caps w:val="0"/>
          <w:color w:val="auto"/>
          <w:spacing w:val="0"/>
          <w:sz w:val="30"/>
          <w:szCs w:val="30"/>
          <w:shd w:val="clear" w:color="auto" w:fill="auto"/>
        </w:rPr>
      </w:pPr>
      <w:r>
        <w:rPr>
          <w:rFonts w:hint="eastAsia" w:ascii="仿宋_GB2312" w:hAnsi="仿宋_GB2312" w:eastAsia="仿宋_GB2312" w:cs="仿宋_GB2312"/>
          <w:b w:val="0"/>
          <w:bCs w:val="0"/>
          <w:color w:val="auto"/>
          <w:sz w:val="30"/>
          <w:szCs w:val="30"/>
          <w:shd w:val="clear" w:color="auto" w:fill="auto"/>
          <w:lang w:val="en-US" w:eastAsia="zh-CN"/>
        </w:rPr>
        <w:t>本规定适用于湘西自治州城镇开发边界范围内各项建设工程。城镇开发边界外的点状用地参照执行。</w:t>
      </w:r>
      <w:r>
        <w:rPr>
          <w:rFonts w:hint="eastAsia" w:ascii="仿宋_GB2312" w:hAnsi="仿宋_GB2312" w:eastAsia="仿宋_GB2312" w:cs="仿宋_GB2312"/>
          <w:b w:val="0"/>
          <w:bCs w:val="0"/>
          <w:color w:val="auto"/>
          <w:sz w:val="30"/>
          <w:szCs w:val="30"/>
          <w:shd w:val="clear" w:color="auto" w:fill="auto"/>
          <w:lang w:val="en-US" w:eastAsia="zh-CN"/>
        </w:rPr>
        <w:t>临时建设、室内装修工程不参照本规定执行。</w:t>
      </w:r>
    </w:p>
    <w:p>
      <w:pPr>
        <w:pStyle w:val="11"/>
        <w:keepNext w:val="0"/>
        <w:keepLines w:val="0"/>
        <w:pageBreakBefore w:val="0"/>
        <w:widowControl/>
        <w:numPr>
          <w:ilvl w:val="1"/>
          <w:numId w:val="4"/>
        </w:numPr>
        <w:suppressLineNumbers w:val="0"/>
        <w:shd w:val="clear" w:fill="FFFFFF"/>
        <w:kinsoku/>
        <w:wordWrap/>
        <w:overflowPunct/>
        <w:topLinePunct w:val="0"/>
        <w:bidi w:val="0"/>
        <w:spacing w:before="0" w:beforeAutospacing="0" w:after="0" w:afterAutospacing="0" w:line="600" w:lineRule="atLeast"/>
        <w:ind w:left="30" w:leftChars="0" w:right="0" w:firstLine="600" w:firstLineChars="0"/>
        <w:jc w:val="both"/>
        <w:rPr>
          <w:rFonts w:hint="eastAsia" w:ascii="仿宋_GB2312" w:hAnsi="仿宋_GB2312" w:eastAsia="仿宋_GB2312" w:cs="仿宋_GB2312"/>
          <w:b w:val="0"/>
          <w:bCs w:val="0"/>
          <w:i w:val="0"/>
          <w:iCs w:val="0"/>
          <w:caps w:val="0"/>
          <w:color w:val="auto"/>
          <w:spacing w:val="0"/>
          <w:sz w:val="30"/>
          <w:szCs w:val="30"/>
          <w:shd w:val="clear" w:color="auto" w:fill="auto"/>
        </w:rPr>
      </w:pPr>
      <w:r>
        <w:rPr>
          <w:rFonts w:hint="eastAsia" w:ascii="仿宋_GB2312" w:hAnsi="仿宋_GB2312" w:eastAsia="仿宋_GB2312" w:cs="仿宋_GB2312"/>
          <w:color w:val="auto"/>
          <w:sz w:val="30"/>
          <w:szCs w:val="30"/>
          <w:shd w:val="clear" w:color="auto" w:fill="auto"/>
          <w:lang w:val="en-US" w:eastAsia="zh-CN"/>
        </w:rPr>
        <w:t>编制、审批详细规划和规划设计方案</w:t>
      </w:r>
      <w:r>
        <w:rPr>
          <w:rFonts w:hint="eastAsia" w:ascii="仿宋_GB2312" w:hAnsi="仿宋_GB2312" w:eastAsia="仿宋_GB2312" w:cs="仿宋_GB2312"/>
          <w:color w:val="auto"/>
          <w:sz w:val="30"/>
          <w:szCs w:val="30"/>
          <w:shd w:val="clear" w:color="auto" w:fill="auto"/>
          <w:lang w:val="en-US" w:eastAsia="zh-CN" w:bidi="ar"/>
        </w:rPr>
        <w:t>应符合国家相关法律、法规、规范和湘西自治州已审批的法定规划的要求，并符合本规定。</w:t>
      </w:r>
      <w:r>
        <w:rPr>
          <w:rFonts w:hint="eastAsia" w:ascii="仿宋_GB2312" w:hAnsi="仿宋_GB2312" w:eastAsia="仿宋_GB2312" w:cs="仿宋_GB2312"/>
          <w:color w:val="auto"/>
          <w:sz w:val="30"/>
          <w:szCs w:val="30"/>
          <w:shd w:val="clear" w:color="auto" w:fill="auto"/>
          <w:lang w:val="en-US" w:eastAsia="zh-CN"/>
        </w:rPr>
        <w:t>凡本规定未涉及到的，依照国家、省、市、地方现行相关法律、法规和规范及标准执行。</w:t>
      </w:r>
      <w:bookmarkStart w:id="3" w:name="_Toc14461"/>
      <w:bookmarkEnd w:id="3"/>
    </w:p>
    <w:p>
      <w:pPr>
        <w:pStyle w:val="11"/>
        <w:keepNext w:val="0"/>
        <w:keepLines w:val="0"/>
        <w:pageBreakBefore w:val="0"/>
        <w:widowControl/>
        <w:numPr>
          <w:ilvl w:val="0"/>
          <w:numId w:val="0"/>
        </w:numPr>
        <w:suppressLineNumbers w:val="0"/>
        <w:shd w:val="clear" w:fill="FFFFFF"/>
        <w:tabs>
          <w:tab w:val="left" w:pos="0"/>
        </w:tabs>
        <w:kinsoku/>
        <w:wordWrap/>
        <w:overflowPunct/>
        <w:topLinePunct w:val="0"/>
        <w:bidi w:val="0"/>
        <w:spacing w:before="0" w:beforeAutospacing="0" w:after="0" w:afterAutospacing="0" w:line="600" w:lineRule="atLeast"/>
        <w:ind w:left="210" w:leftChars="0" w:right="0" w:rightChars="0"/>
        <w:rPr>
          <w:rFonts w:hint="eastAsia" w:ascii="仿宋_GB2312" w:hAnsi="仿宋_GB2312" w:eastAsia="仿宋_GB2312" w:cs="仿宋_GB2312"/>
          <w:color w:val="auto"/>
          <w:sz w:val="30"/>
          <w:szCs w:val="30"/>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bidi w:val="0"/>
        <w:spacing w:before="0" w:beforeAutospacing="0" w:after="0" w:afterAutospacing="0" w:line="600" w:lineRule="atLeast"/>
        <w:ind w:left="210" w:leftChars="0" w:right="0" w:rightChars="0"/>
        <w:rPr>
          <w:rFonts w:hint="eastAsia" w:ascii="仿宋_GB2312" w:hAnsi="仿宋_GB2312" w:eastAsia="仿宋_GB2312" w:cs="仿宋_GB2312"/>
          <w:color w:val="auto"/>
          <w:sz w:val="30"/>
          <w:szCs w:val="30"/>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bidi w:val="0"/>
        <w:spacing w:before="0" w:beforeAutospacing="0" w:after="0" w:afterAutospacing="0" w:line="600" w:lineRule="atLeast"/>
        <w:ind w:left="210" w:leftChars="0" w:right="0" w:rightChars="0"/>
        <w:rPr>
          <w:rFonts w:hint="eastAsia" w:ascii="仿宋_GB2312" w:hAnsi="仿宋_GB2312" w:eastAsia="仿宋_GB2312" w:cs="仿宋_GB2312"/>
          <w:color w:val="auto"/>
          <w:sz w:val="30"/>
          <w:szCs w:val="30"/>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bidi w:val="0"/>
        <w:spacing w:before="0" w:beforeAutospacing="0" w:after="0" w:afterAutospacing="0" w:line="600" w:lineRule="atLeast"/>
        <w:ind w:left="210" w:leftChars="0" w:right="0" w:rightChars="0"/>
        <w:rPr>
          <w:rFonts w:hint="eastAsia" w:ascii="仿宋_GB2312" w:hAnsi="仿宋_GB2312" w:eastAsia="仿宋_GB2312" w:cs="仿宋_GB2312"/>
          <w:color w:val="auto"/>
          <w:sz w:val="30"/>
          <w:szCs w:val="30"/>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bidi w:val="0"/>
        <w:spacing w:before="0" w:beforeAutospacing="0" w:after="0" w:afterAutospacing="0" w:line="600" w:lineRule="atLeast"/>
        <w:ind w:left="210" w:leftChars="0" w:right="0" w:rightChars="0"/>
        <w:rPr>
          <w:rFonts w:hint="eastAsia" w:ascii="仿宋_GB2312" w:hAnsi="仿宋_GB2312" w:eastAsia="仿宋_GB2312" w:cs="仿宋_GB2312"/>
          <w:color w:val="auto"/>
          <w:sz w:val="30"/>
          <w:szCs w:val="30"/>
          <w:shd w:val="clear" w:color="auto" w:fill="auto"/>
          <w:lang w:val="en-US" w:eastAsia="zh-CN"/>
        </w:rPr>
      </w:pPr>
    </w:p>
    <w:p>
      <w:pPr>
        <w:pStyle w:val="11"/>
        <w:pageBreakBefore w:val="0"/>
        <w:widowControl/>
        <w:shd w:val="clear" w:color="auto" w:fill="FFFFFF"/>
        <w:tabs>
          <w:tab w:val="left" w:pos="0"/>
        </w:tabs>
        <w:kinsoku/>
        <w:wordWrap/>
        <w:overflowPunct/>
        <w:topLinePunct w:val="0"/>
        <w:autoSpaceDE/>
        <w:bidi w:val="0"/>
        <w:spacing w:beforeAutospacing="0" w:afterAutospacing="0" w:line="360" w:lineRule="auto"/>
        <w:rPr>
          <w:rFonts w:ascii="仿宋_GB2312" w:hAnsi="仿宋_GB2312" w:eastAsia="仿宋_GB2312" w:cs="仿宋_GB2312"/>
          <w:color w:val="auto"/>
          <w:sz w:val="30"/>
          <w:szCs w:val="30"/>
          <w:shd w:val="clear" w:color="auto" w:fill="auto"/>
        </w:rPr>
      </w:pPr>
    </w:p>
    <w:p>
      <w:pPr>
        <w:pStyle w:val="2"/>
        <w:numPr>
          <w:ilvl w:val="0"/>
          <w:numId w:val="3"/>
        </w:numPr>
        <w:bidi w:val="0"/>
        <w:jc w:val="center"/>
        <w:rPr>
          <w:rFonts w:hint="eastAsia"/>
          <w:color w:val="auto"/>
          <w:sz w:val="36"/>
          <w:szCs w:val="36"/>
          <w:shd w:val="clear" w:color="auto" w:fill="auto"/>
          <w:lang w:val="en-US" w:eastAsia="zh-CN"/>
        </w:rPr>
      </w:pPr>
      <w:bookmarkStart w:id="4" w:name="_Toc20625"/>
      <w:bookmarkStart w:id="5" w:name="_Toc10302"/>
      <w:r>
        <w:rPr>
          <w:rFonts w:hint="eastAsia"/>
          <w:color w:val="auto"/>
          <w:sz w:val="36"/>
          <w:szCs w:val="36"/>
          <w:shd w:val="clear" w:color="auto" w:fill="auto"/>
          <w:lang w:val="en-US" w:eastAsia="zh-CN"/>
        </w:rPr>
        <w:t>城市用地</w:t>
      </w:r>
      <w:bookmarkEnd w:id="4"/>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b w:val="0"/>
          <w:bCs/>
          <w:color w:val="auto"/>
          <w:shd w:val="clear" w:color="auto" w:fill="auto"/>
        </w:rPr>
      </w:pPr>
      <w:bookmarkStart w:id="6" w:name="_Toc24768"/>
      <w:r>
        <w:rPr>
          <w:rFonts w:hint="eastAsia"/>
          <w:b w:val="0"/>
          <w:bCs/>
          <w:color w:val="auto"/>
          <w:shd w:val="clear" w:color="auto" w:fill="auto"/>
        </w:rPr>
        <w:t>第一节  用地分类</w:t>
      </w:r>
      <w:bookmarkEnd w:id="5"/>
      <w:bookmarkEnd w:id="6"/>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28" w:firstLine="600" w:firstLineChars="200"/>
        <w:jc w:val="both"/>
        <w:textAlignment w:val="auto"/>
        <w:rPr>
          <w:rFonts w:hint="eastAsia" w:ascii="仿宋" w:hAnsi="仿宋" w:eastAsia="仿宋" w:cs="仿宋"/>
          <w:b w:val="0"/>
          <w:bCs w:val="0"/>
          <w:color w:val="auto"/>
          <w:sz w:val="30"/>
          <w:szCs w:val="30"/>
          <w:shd w:val="clear" w:color="auto" w:fill="auto"/>
        </w:rPr>
      </w:pPr>
      <w:r>
        <w:rPr>
          <w:rFonts w:hint="eastAsia" w:ascii="仿宋" w:hAnsi="仿宋" w:eastAsia="仿宋" w:cs="仿宋"/>
          <w:b w:val="0"/>
          <w:bCs w:val="0"/>
          <w:color w:val="auto"/>
          <w:sz w:val="30"/>
          <w:szCs w:val="30"/>
          <w:shd w:val="clear" w:color="auto" w:fill="auto"/>
          <w:lang w:eastAsia="zh-CN"/>
        </w:rPr>
        <w:t>湘西自治州</w:t>
      </w:r>
      <w:r>
        <w:rPr>
          <w:rFonts w:hint="eastAsia" w:ascii="仿宋" w:hAnsi="仿宋" w:eastAsia="仿宋" w:cs="仿宋"/>
          <w:b w:val="0"/>
          <w:bCs w:val="0"/>
          <w:color w:val="auto"/>
          <w:sz w:val="30"/>
          <w:szCs w:val="30"/>
          <w:shd w:val="clear" w:color="auto" w:fill="auto"/>
        </w:rPr>
        <w:t>各城市用地根据土地使用的主要性质进行分类，城市用地分类按照《国土空间调查、规划、用途管制用地用海分类指南（试行）》执行。</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b w:val="0"/>
          <w:bCs w:val="0"/>
          <w:color w:val="auto"/>
          <w:sz w:val="30"/>
          <w:szCs w:val="30"/>
          <w:shd w:val="clear" w:color="auto" w:fill="auto"/>
          <w:lang w:eastAsia="zh-CN" w:bidi="ar"/>
        </w:rPr>
        <w:t>城市</w:t>
      </w:r>
      <w:r>
        <w:rPr>
          <w:rFonts w:hint="eastAsia" w:ascii="仿宋" w:hAnsi="仿宋" w:eastAsia="仿宋" w:cs="仿宋"/>
          <w:b w:val="0"/>
          <w:bCs w:val="0"/>
          <w:color w:val="auto"/>
          <w:sz w:val="30"/>
          <w:szCs w:val="30"/>
          <w:shd w:val="clear" w:color="auto" w:fill="auto"/>
          <w:lang w:bidi="ar"/>
        </w:rPr>
        <w:t>用地分类采用三级地类编码，共分为18种一级类、</w:t>
      </w:r>
      <w:r>
        <w:rPr>
          <w:rFonts w:hint="eastAsia" w:ascii="仿宋" w:hAnsi="仿宋" w:eastAsia="仿宋" w:cs="仿宋"/>
          <w:b w:val="0"/>
          <w:bCs w:val="0"/>
          <w:color w:val="auto"/>
          <w:sz w:val="30"/>
          <w:szCs w:val="30"/>
          <w:shd w:val="clear" w:color="auto" w:fill="auto"/>
          <w:lang w:val="en-US" w:eastAsia="zh-CN" w:bidi="ar"/>
        </w:rPr>
        <w:t>88</w:t>
      </w:r>
      <w:r>
        <w:rPr>
          <w:rFonts w:hint="eastAsia" w:ascii="仿宋" w:hAnsi="仿宋" w:eastAsia="仿宋" w:cs="仿宋"/>
          <w:b w:val="0"/>
          <w:bCs w:val="0"/>
          <w:color w:val="auto"/>
          <w:sz w:val="30"/>
          <w:szCs w:val="30"/>
          <w:shd w:val="clear" w:color="auto" w:fill="auto"/>
          <w:lang w:bidi="ar"/>
        </w:rPr>
        <w:t>种二级类及39种三级类。</w:t>
      </w:r>
      <w:r>
        <w:rPr>
          <w:rFonts w:hint="eastAsia" w:ascii="仿宋" w:hAnsi="仿宋" w:eastAsia="仿宋" w:cs="仿宋"/>
          <w:color w:val="auto"/>
          <w:sz w:val="30"/>
          <w:szCs w:val="30"/>
          <w:shd w:val="clear" w:color="auto" w:fill="auto"/>
          <w:lang w:bidi="ar"/>
        </w:rPr>
        <w:t>城市建设用地主要包括居住用地、公共管理与公共服务用地、商业服务业用地、工矿用地、仓储用地、交通运输用地、公用设施用地、绿地与开敞空间用地、特殊用地及留白用地等10种一级类、50种二级类以及35种三级类。</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jc w:val="center"/>
        <w:textAlignment w:val="auto"/>
        <w:rPr>
          <w:rFonts w:hint="eastAsia" w:ascii="仿宋" w:hAnsi="仿宋" w:eastAsia="仿宋" w:cs="仿宋"/>
          <w:b/>
          <w:color w:val="auto"/>
          <w:sz w:val="28"/>
          <w:szCs w:val="28"/>
          <w:shd w:val="clear" w:color="auto" w:fill="auto"/>
        </w:rPr>
      </w:pPr>
      <w:r>
        <w:rPr>
          <w:rFonts w:hint="eastAsia" w:ascii="仿宋" w:hAnsi="仿宋" w:eastAsia="仿宋" w:cs="仿宋"/>
          <w:b/>
          <w:color w:val="auto"/>
          <w:sz w:val="28"/>
          <w:szCs w:val="28"/>
          <w:shd w:val="clear" w:color="auto" w:fill="auto"/>
        </w:rPr>
        <w:t>表2.</w:t>
      </w:r>
      <w:r>
        <w:rPr>
          <w:rFonts w:hint="eastAsia" w:ascii="仿宋" w:hAnsi="仿宋" w:eastAsia="仿宋" w:cs="仿宋"/>
          <w:b/>
          <w:color w:val="auto"/>
          <w:sz w:val="28"/>
          <w:szCs w:val="28"/>
          <w:shd w:val="clear" w:color="auto" w:fill="auto"/>
          <w:lang w:val="en-US" w:eastAsia="zh-CN"/>
        </w:rPr>
        <w:t>1</w:t>
      </w:r>
      <w:r>
        <w:rPr>
          <w:rFonts w:hint="eastAsia" w:ascii="仿宋" w:hAnsi="仿宋" w:eastAsia="仿宋" w:cs="仿宋"/>
          <w:b/>
          <w:color w:val="auto"/>
          <w:sz w:val="28"/>
          <w:szCs w:val="28"/>
          <w:shd w:val="clear" w:color="auto" w:fill="auto"/>
        </w:rPr>
        <w:t xml:space="preserve">  用地分类名称代码表</w:t>
      </w:r>
    </w:p>
    <w:tbl>
      <w:tblPr>
        <w:tblStyle w:val="25"/>
        <w:tblW w:w="501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737"/>
        <w:gridCol w:w="1796"/>
        <w:gridCol w:w="754"/>
        <w:gridCol w:w="2705"/>
        <w:gridCol w:w="878"/>
        <w:gridCol w:w="22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blHeader/>
        </w:trPr>
        <w:tc>
          <w:tcPr>
            <w:tcW w:w="1388" w:type="pct"/>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9"/>
                <w:w w:val="105"/>
                <w:sz w:val="24"/>
                <w:szCs w:val="24"/>
                <w:shd w:val="clear" w:color="auto" w:fill="auto"/>
                <w:lang w:eastAsia="en-US"/>
              </w:rPr>
              <w:t>一级类</w:t>
            </w:r>
          </w:p>
        </w:tc>
        <w:tc>
          <w:tcPr>
            <w:tcW w:w="1895" w:type="pct"/>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9"/>
                <w:w w:val="105"/>
                <w:sz w:val="24"/>
                <w:szCs w:val="24"/>
                <w:shd w:val="clear" w:color="auto" w:fill="auto"/>
                <w:lang w:eastAsia="en-US"/>
              </w:rPr>
              <w:t>二级类</w:t>
            </w:r>
          </w:p>
        </w:tc>
        <w:tc>
          <w:tcPr>
            <w:tcW w:w="1716" w:type="pct"/>
            <w:gridSpan w:val="2"/>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三级</w:t>
            </w:r>
            <w:r>
              <w:rPr>
                <w:rFonts w:hint="eastAsia" w:ascii="仿宋" w:hAnsi="仿宋" w:eastAsia="仿宋" w:cs="仿宋"/>
                <w:b/>
                <w:bCs/>
                <w:color w:val="auto"/>
                <w:spacing w:val="-32"/>
                <w:w w:val="105"/>
                <w:sz w:val="24"/>
                <w:szCs w:val="24"/>
                <w:shd w:val="clear" w:color="auto" w:fill="auto"/>
                <w:lang w:eastAsia="en-US"/>
              </w:rPr>
              <w:t xml:space="preserve"> </w:t>
            </w:r>
            <w:r>
              <w:rPr>
                <w:rFonts w:hint="eastAsia" w:ascii="仿宋" w:hAnsi="仿宋" w:eastAsia="仿宋" w:cs="仿宋"/>
                <w:b/>
                <w:bCs/>
                <w:color w:val="auto"/>
                <w:w w:val="105"/>
                <w:sz w:val="24"/>
                <w:szCs w:val="24"/>
                <w:shd w:val="clear" w:color="auto" w:fill="auto"/>
                <w:lang w:eastAsia="en-US"/>
              </w:rPr>
              <w:t>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blHeader/>
        </w:trPr>
        <w:tc>
          <w:tcPr>
            <w:tcW w:w="40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代码</w:t>
            </w:r>
          </w:p>
        </w:tc>
        <w:tc>
          <w:tcPr>
            <w:tcW w:w="98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名称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代码</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名称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代码</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01</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耕地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0101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水田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0102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水浇地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0103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旱地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02</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园地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0201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果园</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0202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茶园</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pacing w:val="6"/>
                <w:w w:val="105"/>
                <w:sz w:val="24"/>
                <w:szCs w:val="24"/>
                <w:shd w:val="clear" w:color="auto" w:fill="auto"/>
                <w:lang w:eastAsia="en-US"/>
              </w:rPr>
              <w:t>020</w:t>
            </w:r>
            <w:r>
              <w:rPr>
                <w:rFonts w:hint="eastAsia" w:ascii="仿宋" w:hAnsi="仿宋" w:eastAsia="仿宋" w:cs="仿宋"/>
                <w:color w:val="auto"/>
                <w:spacing w:val="6"/>
                <w:w w:val="105"/>
                <w:sz w:val="24"/>
                <w:szCs w:val="24"/>
                <w:shd w:val="clear" w:color="auto" w:fill="auto"/>
                <w:lang w:val="en-US" w:eastAsia="zh-CN"/>
              </w:rPr>
              <w:t>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其他园地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03</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林地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0301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乔木林地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0302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竹林地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0303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灌木林地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0304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其他林地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04</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草地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0401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天然牧草地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0402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人工牧草地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0403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其他草地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05</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湿地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0501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森林沼泽</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0502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灌丛沼泽</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0503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沼泽草地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0504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其他沼泽地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pacing w:val="6"/>
                <w:w w:val="105"/>
                <w:sz w:val="24"/>
                <w:szCs w:val="24"/>
                <w:shd w:val="clear" w:color="auto" w:fill="auto"/>
                <w:lang w:eastAsia="en-US"/>
              </w:rPr>
              <w:t>050</w:t>
            </w:r>
            <w:r>
              <w:rPr>
                <w:rFonts w:hint="eastAsia" w:ascii="仿宋" w:hAnsi="仿宋" w:eastAsia="仿宋" w:cs="仿宋"/>
                <w:color w:val="auto"/>
                <w:spacing w:val="6"/>
                <w:w w:val="105"/>
                <w:sz w:val="24"/>
                <w:szCs w:val="24"/>
                <w:shd w:val="clear" w:color="auto" w:fill="auto"/>
                <w:lang w:val="en-US" w:eastAsia="zh-CN"/>
              </w:rPr>
              <w:t>5</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内陆滩涂</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pacing w:val="4"/>
                <w:w w:val="105"/>
                <w:sz w:val="24"/>
                <w:szCs w:val="24"/>
                <w:shd w:val="clear" w:color="auto" w:fill="auto"/>
                <w:lang w:eastAsia="en-US"/>
              </w:rPr>
              <w:t>050</w:t>
            </w:r>
            <w:r>
              <w:rPr>
                <w:rFonts w:hint="eastAsia" w:ascii="仿宋" w:hAnsi="仿宋" w:eastAsia="仿宋" w:cs="仿宋"/>
                <w:color w:val="auto"/>
                <w:spacing w:val="4"/>
                <w:w w:val="105"/>
                <w:sz w:val="24"/>
                <w:szCs w:val="24"/>
                <w:shd w:val="clear" w:color="auto" w:fill="auto"/>
                <w:lang w:val="en-US" w:eastAsia="zh-CN"/>
              </w:rPr>
              <w:t>6</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红树林地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06</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农业设施建设用 地</w:t>
            </w: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0601</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乡村道路用地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060101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村道用地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060102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村庄内部道路用地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0602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种植设施建设用地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0603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畜禽养殖设施建设用地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0604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水产养殖设施建设用地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07</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居</w:t>
            </w:r>
            <w:r>
              <w:rPr>
                <w:rFonts w:hint="eastAsia" w:ascii="仿宋" w:hAnsi="仿宋" w:eastAsia="仿宋" w:cs="仿宋"/>
                <w:b/>
                <w:bCs/>
                <w:color w:val="auto"/>
                <w:spacing w:val="-36"/>
                <w:w w:val="105"/>
                <w:sz w:val="24"/>
                <w:szCs w:val="24"/>
                <w:shd w:val="clear" w:color="auto" w:fill="auto"/>
                <w:lang w:eastAsia="en-US"/>
              </w:rPr>
              <w:t xml:space="preserve"> </w:t>
            </w:r>
            <w:r>
              <w:rPr>
                <w:rFonts w:hint="eastAsia" w:ascii="仿宋" w:hAnsi="仿宋" w:eastAsia="仿宋" w:cs="仿宋"/>
                <w:b/>
                <w:bCs/>
                <w:color w:val="auto"/>
                <w:spacing w:val="9"/>
                <w:w w:val="105"/>
                <w:sz w:val="24"/>
                <w:szCs w:val="24"/>
                <w:shd w:val="clear" w:color="auto" w:fill="auto"/>
                <w:lang w:eastAsia="en-US"/>
              </w:rPr>
              <w:t>住用地</w:t>
            </w: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0701</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城镇住宅用地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070101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一类城镇住宅用地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070102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二类城镇住宅用地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070103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三类城镇住宅用地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城镇社区服务设施用地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0703</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农村宅基地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070301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一类农村宅基地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070302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二类农村宅基地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0704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农村社区服务设施用地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08</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w w:val="105"/>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公</w:t>
            </w:r>
            <w:r>
              <w:rPr>
                <w:rFonts w:hint="eastAsia" w:ascii="仿宋" w:hAnsi="仿宋" w:eastAsia="仿宋" w:cs="仿宋"/>
                <w:b/>
                <w:bCs/>
                <w:color w:val="auto"/>
                <w:spacing w:val="-38"/>
                <w:w w:val="105"/>
                <w:sz w:val="24"/>
                <w:szCs w:val="24"/>
                <w:shd w:val="clear" w:color="auto" w:fill="auto"/>
                <w:lang w:eastAsia="zh-CN"/>
              </w:rPr>
              <w:t xml:space="preserve"> </w:t>
            </w:r>
            <w:r>
              <w:rPr>
                <w:rFonts w:hint="eastAsia" w:ascii="仿宋" w:hAnsi="仿宋" w:eastAsia="仿宋" w:cs="仿宋"/>
                <w:b/>
                <w:bCs/>
                <w:color w:val="auto"/>
                <w:spacing w:val="7"/>
                <w:w w:val="105"/>
                <w:sz w:val="24"/>
                <w:szCs w:val="24"/>
                <w:shd w:val="clear" w:color="auto" w:fill="auto"/>
                <w:lang w:eastAsia="zh-CN"/>
              </w:rPr>
              <w:t>共管理与公共</w:t>
            </w:r>
            <w:r>
              <w:rPr>
                <w:rFonts w:hint="eastAsia" w:ascii="仿宋" w:hAnsi="仿宋" w:eastAsia="仿宋" w:cs="仿宋"/>
                <w:b/>
                <w:bCs/>
                <w:color w:val="auto"/>
                <w:w w:val="102"/>
                <w:sz w:val="24"/>
                <w:szCs w:val="24"/>
                <w:shd w:val="clear" w:color="auto" w:fill="auto"/>
                <w:lang w:eastAsia="zh-CN"/>
              </w:rPr>
              <w:t xml:space="preserve"> </w:t>
            </w:r>
            <w:r>
              <w:rPr>
                <w:rFonts w:hint="eastAsia" w:ascii="仿宋" w:hAnsi="仿宋" w:eastAsia="仿宋" w:cs="仿宋"/>
                <w:b/>
                <w:bCs/>
                <w:color w:val="auto"/>
                <w:w w:val="105"/>
                <w:sz w:val="24"/>
                <w:szCs w:val="24"/>
                <w:shd w:val="clear" w:color="auto" w:fill="auto"/>
                <w:lang w:eastAsia="zh-CN"/>
              </w:rPr>
              <w:t>服</w:t>
            </w:r>
            <w:r>
              <w:rPr>
                <w:rFonts w:hint="eastAsia" w:ascii="仿宋" w:hAnsi="仿宋" w:eastAsia="仿宋" w:cs="仿宋"/>
                <w:b/>
                <w:bCs/>
                <w:color w:val="auto"/>
                <w:spacing w:val="-36"/>
                <w:w w:val="105"/>
                <w:sz w:val="24"/>
                <w:szCs w:val="24"/>
                <w:shd w:val="clear" w:color="auto" w:fill="auto"/>
                <w:lang w:eastAsia="zh-CN"/>
              </w:rPr>
              <w:t xml:space="preserve"> </w:t>
            </w:r>
            <w:r>
              <w:rPr>
                <w:rFonts w:hint="eastAsia" w:ascii="仿宋" w:hAnsi="仿宋" w:eastAsia="仿宋" w:cs="仿宋"/>
                <w:b/>
                <w:bCs/>
                <w:color w:val="auto"/>
                <w:spacing w:val="9"/>
                <w:w w:val="105"/>
                <w:sz w:val="24"/>
                <w:szCs w:val="24"/>
                <w:shd w:val="clear" w:color="auto" w:fill="auto"/>
                <w:lang w:eastAsia="zh-CN"/>
              </w:rPr>
              <w:t>务用地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机关团体用地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科研用地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0803</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文化用地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080301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图书与展览用地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080302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文化活动用地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0804</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教育用地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5"/>
                <w:w w:val="105"/>
                <w:sz w:val="24"/>
                <w:szCs w:val="24"/>
                <w:shd w:val="clear" w:color="auto" w:fill="auto"/>
                <w:lang w:eastAsia="en-US"/>
              </w:rPr>
              <w:t>080401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高等教育用地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080402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中等职业教育用地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080403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中小学用地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080404</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幼儿园用地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080405</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其他教育用地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0805</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体育用地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080501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体育场馆用地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080502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体育训练用地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pacing w:val="6"/>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0806</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医疗卫生用地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080601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医院用地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080602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基层医疗卫生设施用地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080603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公共卫生用地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0807</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社会福利用地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080701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老年人社会福利用地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080702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儿童社会福利用地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080703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残疾人社会福利用地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080704</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其他社会福利用地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09</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z w:val="24"/>
                <w:szCs w:val="24"/>
                <w:shd w:val="clear" w:color="auto" w:fill="auto"/>
                <w:lang w:eastAsia="en-US"/>
              </w:rPr>
              <w:t>商</w:t>
            </w:r>
            <w:r>
              <w:rPr>
                <w:rFonts w:hint="eastAsia" w:ascii="仿宋" w:hAnsi="仿宋" w:eastAsia="仿宋" w:cs="仿宋"/>
                <w:b/>
                <w:bCs/>
                <w:color w:val="auto"/>
                <w:spacing w:val="7"/>
                <w:sz w:val="24"/>
                <w:szCs w:val="24"/>
                <w:shd w:val="clear" w:color="auto" w:fill="auto"/>
                <w:lang w:eastAsia="en-US"/>
              </w:rPr>
              <w:t>业服务业用地</w:t>
            </w: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0901</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商业用地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090101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零售商业用地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090102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批发市场用地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090103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餐饮用地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090104</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旅馆用地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090105</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公用设施营业网点用地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商务金融用地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0903</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娱乐康体用地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090301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娱乐用地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090302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康体用地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0904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其他商业服务业用地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273" w:firstLineChars="100"/>
              <w:jc w:val="both"/>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10</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w w:val="105"/>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w w:val="105"/>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工</w:t>
            </w:r>
            <w:r>
              <w:rPr>
                <w:rFonts w:hint="eastAsia" w:ascii="仿宋" w:hAnsi="仿宋" w:eastAsia="仿宋" w:cs="仿宋"/>
                <w:b/>
                <w:bCs/>
                <w:color w:val="auto"/>
                <w:spacing w:val="-36"/>
                <w:w w:val="105"/>
                <w:sz w:val="24"/>
                <w:szCs w:val="24"/>
                <w:shd w:val="clear" w:color="auto" w:fill="auto"/>
                <w:lang w:eastAsia="en-US"/>
              </w:rPr>
              <w:t xml:space="preserve"> </w:t>
            </w:r>
            <w:r>
              <w:rPr>
                <w:rFonts w:hint="eastAsia" w:ascii="仿宋" w:hAnsi="仿宋" w:eastAsia="仿宋" w:cs="仿宋"/>
                <w:b/>
                <w:bCs/>
                <w:color w:val="auto"/>
                <w:spacing w:val="9"/>
                <w:w w:val="105"/>
                <w:sz w:val="24"/>
                <w:szCs w:val="24"/>
                <w:shd w:val="clear" w:color="auto" w:fill="auto"/>
                <w:lang w:eastAsia="en-US"/>
              </w:rPr>
              <w:t>矿用地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1001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工业用地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100101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一类工业用地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100102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二类工业用地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100103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三类工业用地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1002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采矿用地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1003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盐田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11</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仓</w:t>
            </w:r>
            <w:r>
              <w:rPr>
                <w:rFonts w:hint="eastAsia" w:ascii="仿宋" w:hAnsi="仿宋" w:eastAsia="仿宋" w:cs="仿宋"/>
                <w:b/>
                <w:bCs/>
                <w:color w:val="auto"/>
                <w:spacing w:val="-36"/>
                <w:w w:val="105"/>
                <w:sz w:val="24"/>
                <w:szCs w:val="24"/>
                <w:shd w:val="clear" w:color="auto" w:fill="auto"/>
                <w:lang w:eastAsia="en-US"/>
              </w:rPr>
              <w:t xml:space="preserve"> </w:t>
            </w:r>
            <w:r>
              <w:rPr>
                <w:rFonts w:hint="eastAsia" w:ascii="仿宋" w:hAnsi="仿宋" w:eastAsia="仿宋" w:cs="仿宋"/>
                <w:b/>
                <w:bCs/>
                <w:color w:val="auto"/>
                <w:spacing w:val="9"/>
                <w:w w:val="105"/>
                <w:sz w:val="24"/>
                <w:szCs w:val="24"/>
                <w:shd w:val="clear" w:color="auto" w:fill="auto"/>
                <w:lang w:eastAsia="en-US"/>
              </w:rPr>
              <w:t>储用地</w:t>
            </w: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1101</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物流仓储用地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110101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一类物流仓储用地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110102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二类物流仓储用地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110103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三类物流仓储用地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1102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储备库用地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12</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z w:val="24"/>
                <w:szCs w:val="24"/>
                <w:shd w:val="clear" w:color="auto" w:fill="auto"/>
                <w:lang w:eastAsia="en-US"/>
              </w:rPr>
              <w:t>交</w:t>
            </w:r>
            <w:r>
              <w:rPr>
                <w:rFonts w:hint="eastAsia" w:ascii="仿宋" w:hAnsi="仿宋" w:eastAsia="仿宋" w:cs="仿宋"/>
                <w:b/>
                <w:bCs/>
                <w:color w:val="auto"/>
                <w:spacing w:val="8"/>
                <w:sz w:val="24"/>
                <w:szCs w:val="24"/>
                <w:shd w:val="clear" w:color="auto" w:fill="auto"/>
                <w:lang w:eastAsia="en-US"/>
              </w:rPr>
              <w:t>通运输用地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铁路用地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公路用地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机场用地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港口码头用地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1205</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管道运输用地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1206</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城市轨道交通用地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1207</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城镇道路用地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1208</w:t>
            </w:r>
          </w:p>
        </w:tc>
        <w:tc>
          <w:tcPr>
            <w:tcW w:w="1481"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交通场站用地</w:t>
            </w: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120801</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对外交通场站用地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120802</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公共交通场站用地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120803</w:t>
            </w:r>
          </w:p>
        </w:tc>
        <w:tc>
          <w:tcPr>
            <w:tcW w:w="123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社会停车场用地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1209</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其他交通设施用地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13</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z w:val="24"/>
                <w:szCs w:val="24"/>
                <w:shd w:val="clear" w:color="auto" w:fill="auto"/>
                <w:lang w:eastAsia="en-US"/>
              </w:rPr>
              <w:t>公</w:t>
            </w:r>
            <w:r>
              <w:rPr>
                <w:rFonts w:hint="eastAsia" w:ascii="仿宋" w:hAnsi="仿宋" w:eastAsia="仿宋" w:cs="仿宋"/>
                <w:b/>
                <w:bCs/>
                <w:color w:val="auto"/>
                <w:spacing w:val="8"/>
                <w:sz w:val="24"/>
                <w:szCs w:val="24"/>
                <w:shd w:val="clear" w:color="auto" w:fill="auto"/>
                <w:lang w:eastAsia="en-US"/>
              </w:rPr>
              <w:t>用设施用地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供水用地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排水用地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供电用地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供燃气用地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1305</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供热用地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1306</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通信用地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1307</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邮政用地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1308</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广播电视设施用地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1309</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环卫用地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1310</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消防用地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1311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干渠</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1312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水工设施用地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1313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其他公用设施用地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14</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绿</w:t>
            </w:r>
            <w:r>
              <w:rPr>
                <w:rFonts w:hint="eastAsia" w:ascii="仿宋" w:hAnsi="仿宋" w:eastAsia="仿宋" w:cs="仿宋"/>
                <w:b/>
                <w:bCs/>
                <w:color w:val="auto"/>
                <w:spacing w:val="-38"/>
                <w:w w:val="105"/>
                <w:sz w:val="24"/>
                <w:szCs w:val="24"/>
                <w:shd w:val="clear" w:color="auto" w:fill="auto"/>
                <w:lang w:eastAsia="en-US"/>
              </w:rPr>
              <w:t xml:space="preserve"> </w:t>
            </w:r>
            <w:r>
              <w:rPr>
                <w:rFonts w:hint="eastAsia" w:ascii="仿宋" w:hAnsi="仿宋" w:eastAsia="仿宋" w:cs="仿宋"/>
                <w:b/>
                <w:bCs/>
                <w:color w:val="auto"/>
                <w:spacing w:val="7"/>
                <w:w w:val="105"/>
                <w:sz w:val="24"/>
                <w:szCs w:val="24"/>
                <w:shd w:val="clear" w:color="auto" w:fill="auto"/>
                <w:lang w:eastAsia="en-US"/>
              </w:rPr>
              <w:t>地与开敞空间</w:t>
            </w:r>
            <w:r>
              <w:rPr>
                <w:rFonts w:hint="eastAsia" w:ascii="仿宋" w:hAnsi="仿宋" w:eastAsia="仿宋" w:cs="仿宋"/>
                <w:b/>
                <w:bCs/>
                <w:color w:val="auto"/>
                <w:w w:val="102"/>
                <w:sz w:val="24"/>
                <w:szCs w:val="24"/>
                <w:shd w:val="clear" w:color="auto" w:fill="auto"/>
                <w:lang w:eastAsia="en-US"/>
              </w:rPr>
              <w:t xml:space="preserve"> </w:t>
            </w:r>
            <w:r>
              <w:rPr>
                <w:rFonts w:hint="eastAsia" w:ascii="仿宋" w:hAnsi="仿宋" w:eastAsia="仿宋" w:cs="仿宋"/>
                <w:b/>
                <w:bCs/>
                <w:color w:val="auto"/>
                <w:spacing w:val="14"/>
                <w:w w:val="105"/>
                <w:sz w:val="24"/>
                <w:szCs w:val="24"/>
                <w:shd w:val="clear" w:color="auto" w:fill="auto"/>
                <w:lang w:eastAsia="en-US"/>
              </w:rPr>
              <w:t>用地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1401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公园绿地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1402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防护绿地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1403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广场用地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15</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特</w:t>
            </w:r>
            <w:r>
              <w:rPr>
                <w:rFonts w:hint="eastAsia" w:ascii="仿宋" w:hAnsi="仿宋" w:eastAsia="仿宋" w:cs="仿宋"/>
                <w:b/>
                <w:bCs/>
                <w:color w:val="auto"/>
                <w:spacing w:val="-36"/>
                <w:w w:val="105"/>
                <w:sz w:val="24"/>
                <w:szCs w:val="24"/>
                <w:shd w:val="clear" w:color="auto" w:fill="auto"/>
                <w:lang w:eastAsia="en-US"/>
              </w:rPr>
              <w:t xml:space="preserve"> </w:t>
            </w:r>
            <w:r>
              <w:rPr>
                <w:rFonts w:hint="eastAsia" w:ascii="仿宋" w:hAnsi="仿宋" w:eastAsia="仿宋" w:cs="仿宋"/>
                <w:b/>
                <w:bCs/>
                <w:color w:val="auto"/>
                <w:spacing w:val="9"/>
                <w:w w:val="105"/>
                <w:sz w:val="24"/>
                <w:szCs w:val="24"/>
                <w:shd w:val="clear" w:color="auto" w:fill="auto"/>
                <w:lang w:eastAsia="en-US"/>
              </w:rPr>
              <w:t>殊用地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1501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军事设施用地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1502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使领馆用地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1503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宗教用地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1504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文物古迹用地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1505</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监教场所用地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1506</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殡葬用地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4"/>
                <w:w w:val="105"/>
                <w:sz w:val="24"/>
                <w:szCs w:val="24"/>
                <w:shd w:val="clear" w:color="auto" w:fill="auto"/>
                <w:lang w:eastAsia="en-US"/>
              </w:rPr>
              <w:t>1507</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其他特殊用地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16</w:t>
            </w:r>
          </w:p>
        </w:tc>
        <w:tc>
          <w:tcPr>
            <w:tcW w:w="984"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spacing w:val="17"/>
                <w:w w:val="105"/>
                <w:sz w:val="24"/>
                <w:szCs w:val="24"/>
                <w:shd w:val="clear" w:color="auto" w:fill="auto"/>
                <w:lang w:eastAsia="en-US"/>
              </w:rPr>
              <w:t>留白用地</w:t>
            </w:r>
          </w:p>
        </w:tc>
        <w:tc>
          <w:tcPr>
            <w:tcW w:w="41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17</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陆</w:t>
            </w:r>
            <w:r>
              <w:rPr>
                <w:rFonts w:hint="eastAsia" w:ascii="仿宋" w:hAnsi="仿宋" w:eastAsia="仿宋" w:cs="仿宋"/>
                <w:b/>
                <w:bCs/>
                <w:color w:val="auto"/>
                <w:spacing w:val="-36"/>
                <w:w w:val="105"/>
                <w:sz w:val="24"/>
                <w:szCs w:val="24"/>
                <w:shd w:val="clear" w:color="auto" w:fill="auto"/>
                <w:lang w:eastAsia="en-US"/>
              </w:rPr>
              <w:t xml:space="preserve"> </w:t>
            </w:r>
            <w:r>
              <w:rPr>
                <w:rFonts w:hint="eastAsia" w:ascii="仿宋" w:hAnsi="仿宋" w:eastAsia="仿宋" w:cs="仿宋"/>
                <w:b/>
                <w:bCs/>
                <w:color w:val="auto"/>
                <w:spacing w:val="9"/>
                <w:w w:val="105"/>
                <w:sz w:val="24"/>
                <w:szCs w:val="24"/>
                <w:shd w:val="clear" w:color="auto" w:fill="auto"/>
                <w:lang w:eastAsia="en-US"/>
              </w:rPr>
              <w:t>地水域</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1701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河流水面</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1702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湖泊水面</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1703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水库水面</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1704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坑塘水面</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1705</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沟渠</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eastAsia="en-US"/>
              </w:rPr>
              <w:t>1706</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冰川及常年积雪</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pacing w:val="10"/>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color w:val="auto"/>
                <w:spacing w:val="10"/>
                <w:w w:val="105"/>
                <w:sz w:val="24"/>
                <w:szCs w:val="24"/>
                <w:shd w:val="clear" w:color="auto" w:fill="auto"/>
                <w:lang w:eastAsia="en-US"/>
              </w:rPr>
              <w:t>18</w:t>
            </w:r>
          </w:p>
        </w:tc>
        <w:tc>
          <w:tcPr>
            <w:tcW w:w="984"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w w:val="105"/>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b/>
                <w:bCs/>
                <w:color w:val="auto"/>
                <w:w w:val="105"/>
                <w:sz w:val="24"/>
                <w:szCs w:val="24"/>
                <w:shd w:val="clear" w:color="auto" w:fill="auto"/>
                <w:lang w:eastAsia="en-US"/>
              </w:rPr>
              <w:t>其</w:t>
            </w:r>
            <w:r>
              <w:rPr>
                <w:rFonts w:hint="eastAsia" w:ascii="仿宋" w:hAnsi="仿宋" w:eastAsia="仿宋" w:cs="仿宋"/>
                <w:b/>
                <w:bCs/>
                <w:color w:val="auto"/>
                <w:spacing w:val="-36"/>
                <w:w w:val="105"/>
                <w:sz w:val="24"/>
                <w:szCs w:val="24"/>
                <w:shd w:val="clear" w:color="auto" w:fill="auto"/>
                <w:lang w:eastAsia="en-US"/>
              </w:rPr>
              <w:t xml:space="preserve"> </w:t>
            </w:r>
            <w:r>
              <w:rPr>
                <w:rFonts w:hint="eastAsia" w:ascii="仿宋" w:hAnsi="仿宋" w:eastAsia="仿宋" w:cs="仿宋"/>
                <w:b/>
                <w:bCs/>
                <w:color w:val="auto"/>
                <w:spacing w:val="9"/>
                <w:w w:val="105"/>
                <w:sz w:val="24"/>
                <w:szCs w:val="24"/>
                <w:shd w:val="clear" w:color="auto" w:fill="auto"/>
                <w:lang w:eastAsia="en-US"/>
              </w:rPr>
              <w:t>他土地</w:t>
            </w: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01</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空闲地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02</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田坎</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03</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田间道</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04</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盐碱地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05</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沙地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06</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裸土地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40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98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41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pacing w:val="6"/>
                <w:w w:val="105"/>
                <w:sz w:val="24"/>
                <w:szCs w:val="24"/>
                <w:shd w:val="clear" w:color="auto" w:fill="auto"/>
                <w:lang w:val="en-US" w:eastAsia="zh-CN"/>
              </w:rPr>
              <w:t>18</w:t>
            </w:r>
            <w:r>
              <w:rPr>
                <w:rFonts w:hint="eastAsia" w:ascii="仿宋" w:hAnsi="仿宋" w:eastAsia="仿宋" w:cs="仿宋"/>
                <w:color w:val="auto"/>
                <w:spacing w:val="6"/>
                <w:w w:val="105"/>
                <w:sz w:val="24"/>
                <w:szCs w:val="24"/>
                <w:shd w:val="clear" w:color="auto" w:fill="auto"/>
                <w:lang w:eastAsia="en-US"/>
              </w:rPr>
              <w:t>07</w:t>
            </w:r>
          </w:p>
        </w:tc>
        <w:tc>
          <w:tcPr>
            <w:tcW w:w="1481"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w w:val="105"/>
                <w:sz w:val="24"/>
                <w:szCs w:val="24"/>
                <w:shd w:val="clear" w:color="auto" w:fill="auto"/>
                <w:lang w:eastAsia="en-US"/>
              </w:rPr>
              <w:t>裸岩石砾地</w:t>
            </w:r>
          </w:p>
        </w:tc>
        <w:tc>
          <w:tcPr>
            <w:tcW w:w="48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c>
          <w:tcPr>
            <w:tcW w:w="123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en-US"/>
              </w:rPr>
            </w:pPr>
          </w:p>
        </w:tc>
      </w:tr>
    </w:tbl>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lang w:val="en-US" w:eastAsia="zh-CN" w:bidi="ar"/>
        </w:rPr>
      </w:pPr>
      <w:r>
        <w:rPr>
          <w:rFonts w:hint="eastAsia" w:ascii="仿宋" w:hAnsi="仿宋" w:eastAsia="仿宋" w:cs="仿宋"/>
          <w:color w:val="auto"/>
          <w:sz w:val="30"/>
          <w:szCs w:val="30"/>
          <w:shd w:val="clear" w:color="auto" w:fill="auto"/>
          <w:lang w:val="en-US" w:eastAsia="zh-CN" w:bidi="ar"/>
        </w:rPr>
        <w:t>城市地下空间用途分类的表达方式，应对照本条目中用地分类表（表2.1）在其代码前增加UG 字样（同时删除用地字样），表达对应设施所属的用途；当地下空间用途出现表中未列出的用途类型时，应符合表2.2地下空间用途补充分类及其名称、代码的规定。</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jc w:val="center"/>
        <w:textAlignment w:val="auto"/>
        <w:rPr>
          <w:rFonts w:hint="eastAsia" w:ascii="仿宋" w:hAnsi="仿宋" w:eastAsia="仿宋" w:cs="仿宋"/>
          <w:b/>
          <w:color w:val="auto"/>
          <w:sz w:val="28"/>
          <w:szCs w:val="28"/>
          <w:shd w:val="clear" w:color="auto" w:fill="auto"/>
        </w:rPr>
      </w:pPr>
      <w:r>
        <w:rPr>
          <w:rFonts w:hint="eastAsia" w:ascii="仿宋" w:hAnsi="仿宋" w:eastAsia="仿宋" w:cs="仿宋"/>
          <w:b/>
          <w:color w:val="auto"/>
          <w:sz w:val="28"/>
          <w:szCs w:val="28"/>
          <w:shd w:val="clear" w:color="auto" w:fill="auto"/>
        </w:rPr>
        <w:t>表2.</w:t>
      </w:r>
      <w:r>
        <w:rPr>
          <w:rFonts w:hint="eastAsia" w:ascii="仿宋" w:hAnsi="仿宋" w:eastAsia="仿宋" w:cs="仿宋"/>
          <w:b/>
          <w:color w:val="auto"/>
          <w:sz w:val="28"/>
          <w:szCs w:val="28"/>
          <w:shd w:val="clear" w:color="auto" w:fill="auto"/>
          <w:lang w:val="en-US" w:eastAsia="zh-CN"/>
        </w:rPr>
        <w:t>2</w:t>
      </w:r>
      <w:r>
        <w:rPr>
          <w:rFonts w:hint="eastAsia" w:ascii="仿宋" w:hAnsi="仿宋" w:eastAsia="仿宋" w:cs="仿宋"/>
          <w:b/>
          <w:color w:val="auto"/>
          <w:sz w:val="28"/>
          <w:szCs w:val="28"/>
          <w:shd w:val="clear" w:color="auto" w:fill="auto"/>
        </w:rPr>
        <w:t xml:space="preserve">  </w:t>
      </w:r>
      <w:r>
        <w:rPr>
          <w:rFonts w:hint="eastAsia" w:ascii="仿宋" w:hAnsi="仿宋" w:eastAsia="仿宋" w:cs="仿宋"/>
          <w:b/>
          <w:color w:val="auto"/>
          <w:sz w:val="28"/>
          <w:szCs w:val="28"/>
          <w:shd w:val="clear" w:color="auto" w:fill="auto"/>
          <w:lang w:eastAsia="zh-CN"/>
        </w:rPr>
        <w:t>湘西自治州</w:t>
      </w:r>
      <w:r>
        <w:rPr>
          <w:rFonts w:hint="eastAsia" w:ascii="仿宋" w:hAnsi="仿宋" w:eastAsia="仿宋" w:cs="仿宋"/>
          <w:b/>
          <w:color w:val="auto"/>
          <w:sz w:val="28"/>
          <w:szCs w:val="28"/>
          <w:shd w:val="clear" w:color="auto" w:fill="auto"/>
        </w:rPr>
        <w:t>城市地下空间用途补充分类及代码表</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3657"/>
        <w:gridCol w:w="1205"/>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61" w:type="pct"/>
            <w:gridSpan w:val="2"/>
            <w:shd w:val="clear" w:color="auto" w:fill="auto"/>
            <w:noWrap/>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rPr>
            </w:pPr>
            <w:r>
              <w:rPr>
                <w:rFonts w:hint="eastAsia" w:ascii="仿宋" w:hAnsi="仿宋" w:eastAsia="仿宋" w:cs="仿宋"/>
                <w:b/>
                <w:bCs/>
                <w:color w:val="auto"/>
                <w:spacing w:val="14"/>
                <w:w w:val="105"/>
                <w:sz w:val="24"/>
                <w:szCs w:val="24"/>
                <w:shd w:val="clear" w:color="auto" w:fill="auto"/>
              </w:rPr>
              <w:t>一级类</w:t>
            </w:r>
          </w:p>
        </w:tc>
        <w:tc>
          <w:tcPr>
            <w:tcW w:w="2439" w:type="pct"/>
            <w:gridSpan w:val="2"/>
            <w:shd w:val="clear" w:color="auto" w:fill="auto"/>
            <w:noWrap/>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rPr>
            </w:pPr>
            <w:r>
              <w:rPr>
                <w:rFonts w:hint="eastAsia" w:ascii="仿宋" w:hAnsi="仿宋" w:eastAsia="仿宋" w:cs="仿宋"/>
                <w:b/>
                <w:bCs/>
                <w:color w:val="auto"/>
                <w:spacing w:val="14"/>
                <w:w w:val="105"/>
                <w:sz w:val="24"/>
                <w:szCs w:val="24"/>
                <w:shd w:val="clear" w:color="auto" w:fill="auto"/>
              </w:rPr>
              <w:t>二级类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rPr>
            </w:pPr>
            <w:r>
              <w:rPr>
                <w:rFonts w:hint="eastAsia" w:ascii="仿宋" w:hAnsi="仿宋" w:eastAsia="仿宋" w:cs="仿宋"/>
                <w:b/>
                <w:bCs/>
                <w:color w:val="auto"/>
                <w:spacing w:val="14"/>
                <w:w w:val="105"/>
                <w:sz w:val="24"/>
                <w:szCs w:val="24"/>
                <w:shd w:val="clear" w:color="auto" w:fill="auto"/>
              </w:rPr>
              <w:t>代码</w:t>
            </w:r>
          </w:p>
        </w:tc>
        <w:tc>
          <w:tcPr>
            <w:tcW w:w="196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rPr>
            </w:pPr>
            <w:r>
              <w:rPr>
                <w:rFonts w:hint="eastAsia" w:ascii="仿宋" w:hAnsi="仿宋" w:eastAsia="仿宋" w:cs="仿宋"/>
                <w:b/>
                <w:bCs/>
                <w:color w:val="auto"/>
                <w:spacing w:val="14"/>
                <w:w w:val="105"/>
                <w:sz w:val="24"/>
                <w:szCs w:val="24"/>
                <w:shd w:val="clear" w:color="auto" w:fill="auto"/>
              </w:rPr>
              <w:t>名称</w:t>
            </w:r>
          </w:p>
        </w:tc>
        <w:tc>
          <w:tcPr>
            <w:tcW w:w="647"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rPr>
            </w:pPr>
            <w:r>
              <w:rPr>
                <w:rFonts w:hint="eastAsia" w:ascii="仿宋" w:hAnsi="仿宋" w:eastAsia="仿宋" w:cs="仿宋"/>
                <w:b/>
                <w:bCs/>
                <w:color w:val="auto"/>
                <w:spacing w:val="14"/>
                <w:w w:val="105"/>
                <w:sz w:val="24"/>
                <w:szCs w:val="24"/>
                <w:shd w:val="clear" w:color="auto" w:fill="auto"/>
              </w:rPr>
              <w:t>代码</w:t>
            </w:r>
          </w:p>
        </w:tc>
        <w:tc>
          <w:tcPr>
            <w:tcW w:w="179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rPr>
            </w:pPr>
            <w:r>
              <w:rPr>
                <w:rFonts w:hint="eastAsia" w:ascii="仿宋" w:hAnsi="仿宋" w:eastAsia="仿宋" w:cs="仿宋"/>
                <w:b/>
                <w:bCs/>
                <w:color w:val="auto"/>
                <w:spacing w:val="14"/>
                <w:w w:val="105"/>
                <w:sz w:val="24"/>
                <w:szCs w:val="24"/>
                <w:shd w:val="clear" w:color="auto" w:fill="auto"/>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12</w:t>
            </w:r>
          </w:p>
        </w:tc>
        <w:tc>
          <w:tcPr>
            <w:tcW w:w="196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地下交通运输设施</w:t>
            </w:r>
          </w:p>
        </w:tc>
        <w:tc>
          <w:tcPr>
            <w:tcW w:w="647"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13</w:t>
            </w:r>
            <w:r>
              <w:rPr>
                <w:rFonts w:hint="eastAsia" w:ascii="仿宋" w:hAnsi="仿宋" w:eastAsia="仿宋" w:cs="仿宋"/>
                <w:color w:val="auto"/>
                <w:w w:val="105"/>
                <w:sz w:val="24"/>
                <w:szCs w:val="24"/>
                <w:shd w:val="clear" w:color="auto" w:fill="auto"/>
              </w:rPr>
              <w:t>10</w:t>
            </w:r>
          </w:p>
        </w:tc>
        <w:tc>
          <w:tcPr>
            <w:tcW w:w="179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地下人行通道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13</w:t>
            </w:r>
          </w:p>
        </w:tc>
        <w:tc>
          <w:tcPr>
            <w:tcW w:w="1963" w:type="pct"/>
            <w:vMerge w:val="restar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地下公用设施</w:t>
            </w:r>
          </w:p>
        </w:tc>
        <w:tc>
          <w:tcPr>
            <w:tcW w:w="647"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13</w:t>
            </w:r>
            <w:r>
              <w:rPr>
                <w:rFonts w:hint="eastAsia" w:ascii="仿宋" w:hAnsi="仿宋" w:eastAsia="仿宋" w:cs="仿宋"/>
                <w:color w:val="auto"/>
                <w:w w:val="105"/>
                <w:sz w:val="24"/>
                <w:szCs w:val="24"/>
                <w:shd w:val="clear" w:color="auto" w:fill="auto"/>
              </w:rPr>
              <w:t>1</w:t>
            </w:r>
            <w:r>
              <w:rPr>
                <w:rFonts w:hint="eastAsia" w:ascii="仿宋" w:hAnsi="仿宋" w:eastAsia="仿宋" w:cs="仿宋"/>
                <w:color w:val="auto"/>
                <w:w w:val="105"/>
                <w:sz w:val="24"/>
                <w:szCs w:val="24"/>
                <w:shd w:val="clear" w:color="auto" w:fill="auto"/>
                <w:lang w:val="en-US" w:eastAsia="zh-CN"/>
              </w:rPr>
              <w:t>4</w:t>
            </w:r>
          </w:p>
        </w:tc>
        <w:tc>
          <w:tcPr>
            <w:tcW w:w="179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地下人行通道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pct"/>
            <w:vMerge w:val="continue"/>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p>
        </w:tc>
        <w:tc>
          <w:tcPr>
            <w:tcW w:w="1963" w:type="pct"/>
            <w:vMerge w:val="continue"/>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p>
        </w:tc>
        <w:tc>
          <w:tcPr>
            <w:tcW w:w="647"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13</w:t>
            </w:r>
            <w:r>
              <w:rPr>
                <w:rFonts w:hint="eastAsia" w:ascii="仿宋" w:hAnsi="仿宋" w:eastAsia="仿宋" w:cs="仿宋"/>
                <w:color w:val="auto"/>
                <w:w w:val="105"/>
                <w:sz w:val="24"/>
                <w:szCs w:val="24"/>
                <w:shd w:val="clear" w:color="auto" w:fill="auto"/>
              </w:rPr>
              <w:t>1</w:t>
            </w:r>
            <w:r>
              <w:rPr>
                <w:rFonts w:hint="eastAsia" w:ascii="仿宋" w:hAnsi="仿宋" w:eastAsia="仿宋" w:cs="仿宋"/>
                <w:color w:val="auto"/>
                <w:w w:val="105"/>
                <w:sz w:val="24"/>
                <w:szCs w:val="24"/>
                <w:shd w:val="clear" w:color="auto" w:fill="auto"/>
                <w:lang w:val="en-US" w:eastAsia="zh-CN"/>
              </w:rPr>
              <w:t>5</w:t>
            </w:r>
          </w:p>
        </w:tc>
        <w:tc>
          <w:tcPr>
            <w:tcW w:w="179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地下市政管廊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19</w:t>
            </w:r>
          </w:p>
        </w:tc>
        <w:tc>
          <w:tcPr>
            <w:tcW w:w="196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地下人民防空设施</w:t>
            </w:r>
          </w:p>
        </w:tc>
        <w:tc>
          <w:tcPr>
            <w:tcW w:w="647"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p>
        </w:tc>
        <w:tc>
          <w:tcPr>
            <w:tcW w:w="179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9"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rPr>
              <w:t>UG</w:t>
            </w:r>
            <w:r>
              <w:rPr>
                <w:rFonts w:hint="eastAsia" w:ascii="仿宋" w:hAnsi="仿宋" w:eastAsia="仿宋" w:cs="仿宋"/>
                <w:color w:val="auto"/>
                <w:w w:val="105"/>
                <w:sz w:val="24"/>
                <w:szCs w:val="24"/>
                <w:shd w:val="clear" w:color="auto" w:fill="auto"/>
                <w:lang w:val="en-US" w:eastAsia="zh-CN"/>
              </w:rPr>
              <w:t>20</w:t>
            </w:r>
          </w:p>
        </w:tc>
        <w:tc>
          <w:tcPr>
            <w:tcW w:w="1963"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其他地下设施</w:t>
            </w:r>
          </w:p>
        </w:tc>
        <w:tc>
          <w:tcPr>
            <w:tcW w:w="647"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p>
        </w:tc>
        <w:tc>
          <w:tcPr>
            <w:tcW w:w="1792" w:type="pct"/>
            <w:shd w:val="clear" w:color="auto" w:fill="auto"/>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rPr>
            </w:pPr>
          </w:p>
        </w:tc>
      </w:tr>
    </w:tbl>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lang w:val="en-US" w:eastAsia="zh-CN" w:bidi="ar"/>
        </w:rPr>
      </w:pP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57" w:firstLine="600" w:firstLineChars="200"/>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主要用地布局</w:t>
      </w:r>
    </w:p>
    <w:p>
      <w:pPr>
        <w:pStyle w:val="11"/>
        <w:keepNext w:val="0"/>
        <w:keepLines w:val="0"/>
        <w:pageBreakBefore w:val="0"/>
        <w:widowControl/>
        <w:numPr>
          <w:ilvl w:val="0"/>
          <w:numId w:val="5"/>
        </w:numPr>
        <w:shd w:val="clear" w:color="auto" w:fill="FFFFFF"/>
        <w:tabs>
          <w:tab w:val="left" w:pos="0"/>
        </w:tabs>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居住用地：规划建设应符合</w:t>
      </w:r>
      <w:r>
        <w:rPr>
          <w:rFonts w:hint="eastAsia" w:ascii="仿宋" w:hAnsi="仿宋" w:eastAsia="仿宋" w:cs="仿宋"/>
          <w:color w:val="auto"/>
          <w:sz w:val="30"/>
          <w:szCs w:val="30"/>
          <w:shd w:val="clear" w:color="auto" w:fill="auto"/>
          <w:lang w:eastAsia="zh-CN" w:bidi="ar"/>
        </w:rPr>
        <w:t>湘西自治州</w:t>
      </w:r>
      <w:r>
        <w:rPr>
          <w:rFonts w:hint="eastAsia" w:ascii="仿宋" w:hAnsi="仿宋" w:eastAsia="仿宋" w:cs="仿宋"/>
          <w:color w:val="auto"/>
          <w:sz w:val="30"/>
          <w:szCs w:val="30"/>
          <w:shd w:val="clear" w:color="auto" w:fill="auto"/>
          <w:lang w:bidi="ar"/>
        </w:rPr>
        <w:t>气候特点与环境条件、经济社会发展水平和文化习俗;选择在安全、适宜居住的地段进行建设。</w:t>
      </w:r>
      <w:r>
        <w:rPr>
          <w:rFonts w:hint="eastAsia" w:ascii="仿宋" w:hAnsi="仿宋" w:eastAsia="仿宋" w:cs="仿宋"/>
          <w:color w:val="auto"/>
          <w:sz w:val="30"/>
          <w:szCs w:val="30"/>
          <w:shd w:val="clear" w:color="auto" w:fill="auto"/>
          <w:lang w:val="en-US" w:eastAsia="zh-CN" w:bidi="ar"/>
        </w:rPr>
        <w:t>统</w:t>
      </w:r>
      <w:r>
        <w:rPr>
          <w:rFonts w:hint="eastAsia" w:ascii="仿宋" w:hAnsi="仿宋" w:eastAsia="仿宋" w:cs="仿宋"/>
          <w:color w:val="auto"/>
          <w:sz w:val="30"/>
          <w:szCs w:val="30"/>
          <w:shd w:val="clear" w:color="auto" w:fill="auto"/>
          <w:lang w:bidi="ar"/>
        </w:rPr>
        <w:t>筹考虑居民的应急避难场所和疏散通道，并应符合国家有关应急防灾的安全管控要求。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2、公共管理与公共服务用地：规划建设应符合国土空间规划和宜居城市建设要求，按州、县、街道及社区级四级配置。城市街道、社区应重点结合最新《城市居住区规划设计标准》相关配套设施建设要求，在5分钟生活圈居住区、10分钟生活圈居住区、15分钟生活圈居住区及居住街坊不同空间尺度下，按配套建设、方便使用，统筹开放、兼顾发展原则进行公共管理与公共服务用地布局，其配套布局应遵循集中和分散兼顾、独立和混合使用并重原则，其建筑风格、造型、颜色、外观形象和标牌应统一设置。</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3、</w:t>
      </w:r>
      <w:r>
        <w:rPr>
          <w:rFonts w:hint="eastAsia" w:ascii="仿宋" w:hAnsi="仿宋" w:eastAsia="仿宋" w:cs="仿宋"/>
          <w:color w:val="auto"/>
          <w:kern w:val="0"/>
          <w:sz w:val="30"/>
          <w:szCs w:val="30"/>
          <w:shd w:val="clear" w:color="auto" w:fill="auto"/>
          <w:lang w:val="en-US" w:eastAsia="en-US" w:bidi="ar"/>
        </w:rPr>
        <w:t>商业服务业用地</w:t>
      </w:r>
      <w:r>
        <w:rPr>
          <w:rFonts w:hint="eastAsia" w:ascii="仿宋" w:hAnsi="仿宋" w:eastAsia="仿宋" w:cs="仿宋"/>
          <w:color w:val="auto"/>
          <w:kern w:val="0"/>
          <w:sz w:val="30"/>
          <w:szCs w:val="30"/>
          <w:shd w:val="clear" w:color="auto" w:fill="auto"/>
          <w:lang w:val="en-US" w:eastAsia="zh-CN" w:bidi="ar"/>
        </w:rPr>
        <w:t>:城市</w:t>
      </w:r>
      <w:r>
        <w:rPr>
          <w:rFonts w:hint="eastAsia" w:ascii="仿宋" w:hAnsi="仿宋" w:eastAsia="仿宋" w:cs="仿宋"/>
          <w:color w:val="auto"/>
          <w:kern w:val="0"/>
          <w:sz w:val="30"/>
          <w:szCs w:val="30"/>
          <w:shd w:val="clear" w:color="auto" w:fill="auto"/>
          <w:lang w:val="en-US" w:eastAsia="en-US" w:bidi="ar"/>
        </w:rPr>
        <w:t>商业服务业用地</w:t>
      </w:r>
      <w:r>
        <w:rPr>
          <w:rFonts w:hint="eastAsia" w:ascii="仿宋" w:hAnsi="仿宋" w:eastAsia="仿宋" w:cs="仿宋"/>
          <w:color w:val="auto"/>
          <w:kern w:val="0"/>
          <w:sz w:val="30"/>
          <w:szCs w:val="30"/>
          <w:shd w:val="clear" w:color="auto" w:fill="auto"/>
          <w:lang w:val="en-US" w:eastAsia="zh-CN" w:bidi="ar"/>
        </w:rPr>
        <w:t>选址</w:t>
      </w:r>
      <w:r>
        <w:rPr>
          <w:rFonts w:hint="eastAsia" w:ascii="仿宋" w:hAnsi="仿宋" w:eastAsia="仿宋" w:cs="仿宋"/>
          <w:color w:val="auto"/>
          <w:kern w:val="0"/>
          <w:sz w:val="30"/>
          <w:szCs w:val="30"/>
          <w:shd w:val="clear" w:color="auto" w:fill="auto"/>
          <w:lang w:val="en-US" w:eastAsia="zh-CN" w:bidi="ar"/>
        </w:rPr>
        <w:t>应符合</w:t>
      </w:r>
      <w:r>
        <w:rPr>
          <w:rFonts w:hint="eastAsia" w:ascii="仿宋" w:hAnsi="仿宋" w:eastAsia="仿宋" w:cs="仿宋"/>
          <w:color w:val="auto"/>
          <w:kern w:val="0"/>
          <w:sz w:val="30"/>
          <w:szCs w:val="30"/>
          <w:shd w:val="clear" w:color="auto" w:fill="auto"/>
          <w:lang w:val="en-US" w:eastAsia="zh-CN" w:bidi="ar"/>
        </w:rPr>
        <w:t>国土空间总体规划，其用地应满足如下要求：应有一种或一种以上的功能作为项目的主导功能，主导功能的建筑面积不应小于总建筑面积的25%。</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4、工矿用地：规划建设应注重产业集聚，符合集中有序、节约集约、高效利用的原则，引导工业项目向园区集聚，除矿产资源、能源开发等对选址有特殊要求的项目外，新上工业项目必须安排在省级及以上园区。未通过认定的化工园区，不得新建、改扩建化工项目（安全、环保、节能和智能化改造项目除外）。</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5、仓储用地：城市物流仓储用地宜根据类型、性质等的不同，布置在不同地段，同类物流仓储用地宜集中布置。涉及有较大环境、安全影响的特殊物流仓储用地选址应远离城市中心区及人口密集地区，不同类型的危险品仓库应相互分隔，不得混合储存。</w:t>
      </w:r>
    </w:p>
    <w:p>
      <w:pPr>
        <w:keepNext w:val="0"/>
        <w:keepLines w:val="0"/>
        <w:pageBreakBefore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6、</w:t>
      </w:r>
      <w:r>
        <w:rPr>
          <w:rFonts w:hint="eastAsia" w:ascii="仿宋" w:hAnsi="仿宋" w:eastAsia="仿宋" w:cs="仿宋"/>
          <w:color w:val="auto"/>
          <w:kern w:val="0"/>
          <w:sz w:val="30"/>
          <w:szCs w:val="30"/>
          <w:shd w:val="clear" w:color="auto" w:fill="auto"/>
          <w:lang w:val="en-US" w:eastAsia="en-US" w:bidi="ar"/>
        </w:rPr>
        <w:t>交通运输用地</w:t>
      </w:r>
      <w:r>
        <w:rPr>
          <w:rFonts w:hint="eastAsia" w:ascii="仿宋" w:hAnsi="仿宋" w:eastAsia="仿宋" w:cs="仿宋"/>
          <w:color w:val="auto"/>
          <w:kern w:val="0"/>
          <w:sz w:val="30"/>
          <w:szCs w:val="30"/>
          <w:shd w:val="clear" w:color="auto" w:fill="auto"/>
          <w:lang w:val="en-US" w:eastAsia="zh-CN" w:bidi="ar"/>
        </w:rPr>
        <w:t>:依据城市综合交通体系发展目标与策略，落实确定公路、铁路、航运、轨道交通等重要交通走廊和重要交通枢纽设施的布局和控制要求</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ind w:left="29" w:leftChars="14" w:firstLine="600" w:firstLineChars="200"/>
        <w:jc w:val="both"/>
        <w:textAlignment w:val="auto"/>
        <w:rPr>
          <w:rFonts w:hint="eastAsia" w:ascii="仿宋" w:hAnsi="仿宋" w:eastAsia="仿宋" w:cs="仿宋"/>
          <w:color w:val="auto"/>
          <w:sz w:val="30"/>
          <w:szCs w:val="30"/>
          <w:shd w:val="clear" w:color="auto" w:fill="auto"/>
          <w:lang w:eastAsia="zh-CN" w:bidi="ar"/>
        </w:rPr>
      </w:pPr>
      <w:r>
        <w:rPr>
          <w:rFonts w:hint="eastAsia" w:ascii="仿宋" w:hAnsi="仿宋" w:eastAsia="仿宋" w:cs="仿宋"/>
          <w:color w:val="auto"/>
          <w:sz w:val="30"/>
          <w:szCs w:val="30"/>
          <w:shd w:val="clear" w:color="auto" w:fill="auto"/>
          <w:lang w:val="en-US" w:eastAsia="zh-CN" w:bidi="ar"/>
        </w:rPr>
        <w:t>7</w:t>
      </w:r>
      <w:r>
        <w:rPr>
          <w:rFonts w:hint="eastAsia" w:ascii="仿宋" w:hAnsi="仿宋" w:eastAsia="仿宋" w:cs="仿宋"/>
          <w:color w:val="auto"/>
          <w:sz w:val="30"/>
          <w:szCs w:val="30"/>
          <w:shd w:val="clear" w:color="auto" w:fill="auto"/>
          <w:lang w:bidi="ar"/>
        </w:rPr>
        <w:t>、</w:t>
      </w:r>
      <w:r>
        <w:rPr>
          <w:rFonts w:hint="eastAsia" w:ascii="仿宋" w:hAnsi="仿宋" w:eastAsia="仿宋" w:cs="仿宋"/>
          <w:color w:val="auto"/>
          <w:sz w:val="30"/>
          <w:szCs w:val="30"/>
          <w:shd w:val="clear" w:color="auto" w:fill="auto"/>
          <w:lang w:eastAsia="en-US" w:bidi="ar"/>
        </w:rPr>
        <w:t>公用设施用地</w:t>
      </w:r>
      <w:r>
        <w:rPr>
          <w:rFonts w:hint="eastAsia" w:ascii="仿宋" w:hAnsi="仿宋" w:eastAsia="仿宋" w:cs="仿宋"/>
          <w:color w:val="auto"/>
          <w:sz w:val="30"/>
          <w:szCs w:val="30"/>
          <w:shd w:val="clear" w:color="auto" w:fill="auto"/>
          <w:lang w:bidi="ar"/>
        </w:rPr>
        <w:t>：</w:t>
      </w:r>
      <w:r>
        <w:rPr>
          <w:rFonts w:hint="eastAsia" w:ascii="仿宋" w:hAnsi="仿宋" w:eastAsia="仿宋" w:cs="仿宋"/>
          <w:color w:val="auto"/>
          <w:sz w:val="30"/>
          <w:szCs w:val="30"/>
          <w:shd w:val="clear" w:color="auto" w:fill="auto"/>
          <w:lang w:val="en-US" w:eastAsia="zh-CN" w:bidi="ar"/>
        </w:rPr>
        <w:t>城市给排水设施、城市强弱电设施、城市燃气设施、城市环境卫生设施、城市加油站、加气站、汽车充电站、甲醇加注站等城市公用设施用地布局应符合相关城市专项规划规定，满足安全、消防、环保等相关管控要求</w:t>
      </w:r>
      <w:r>
        <w:rPr>
          <w:rFonts w:hint="eastAsia" w:ascii="仿宋" w:hAnsi="仿宋" w:eastAsia="仿宋" w:cs="仿宋"/>
          <w:color w:val="auto"/>
          <w:sz w:val="30"/>
          <w:szCs w:val="30"/>
          <w:shd w:val="clear" w:color="auto" w:fill="auto"/>
          <w:lang w:eastAsia="zh-CN" w:bidi="ar"/>
        </w:rPr>
        <w:t>。</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ind w:left="29" w:leftChars="14" w:firstLine="600" w:firstLineChars="200"/>
        <w:jc w:val="both"/>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val="en-US" w:eastAsia="zh-CN" w:bidi="ar"/>
        </w:rPr>
        <w:t>8</w:t>
      </w:r>
      <w:r>
        <w:rPr>
          <w:rFonts w:hint="eastAsia" w:ascii="仿宋" w:hAnsi="仿宋" w:eastAsia="仿宋" w:cs="仿宋"/>
          <w:color w:val="auto"/>
          <w:sz w:val="30"/>
          <w:szCs w:val="30"/>
          <w:shd w:val="clear" w:color="auto" w:fill="auto"/>
          <w:lang w:bidi="ar"/>
        </w:rPr>
        <w:t>、绿地与开敞空间用地：优化绿地布局方式，积极建设社区公园、游园、口袋公园等多种类公园绿地。各城市综合公园和居住区公园规划各项指标应符合下表规定。</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ind w:left="670" w:leftChars="319" w:firstLine="0" w:firstLineChars="0"/>
        <w:jc w:val="center"/>
        <w:textAlignment w:val="auto"/>
        <w:rPr>
          <w:rFonts w:hint="eastAsia" w:ascii="仿宋" w:hAnsi="仿宋" w:eastAsia="仿宋" w:cs="仿宋"/>
          <w:b/>
          <w:color w:val="auto"/>
          <w:sz w:val="28"/>
          <w:szCs w:val="28"/>
          <w:shd w:val="clear" w:color="auto" w:fill="auto"/>
        </w:rPr>
      </w:pPr>
      <w:r>
        <w:rPr>
          <w:rFonts w:hint="eastAsia" w:ascii="仿宋" w:hAnsi="仿宋" w:eastAsia="仿宋" w:cs="仿宋"/>
          <w:b/>
          <w:color w:val="auto"/>
          <w:sz w:val="28"/>
          <w:szCs w:val="28"/>
          <w:shd w:val="clear" w:color="auto" w:fill="auto"/>
        </w:rPr>
        <w:t>表2.</w:t>
      </w:r>
      <w:r>
        <w:rPr>
          <w:rFonts w:hint="eastAsia" w:ascii="仿宋" w:hAnsi="仿宋" w:eastAsia="仿宋" w:cs="仿宋"/>
          <w:b/>
          <w:color w:val="auto"/>
          <w:sz w:val="28"/>
          <w:szCs w:val="28"/>
          <w:shd w:val="clear" w:color="auto" w:fill="auto"/>
          <w:lang w:val="en-US" w:eastAsia="zh-CN"/>
        </w:rPr>
        <w:t>3</w:t>
      </w:r>
      <w:r>
        <w:rPr>
          <w:rFonts w:hint="eastAsia" w:ascii="仿宋" w:hAnsi="仿宋" w:eastAsia="仿宋" w:cs="仿宋"/>
          <w:b/>
          <w:color w:val="auto"/>
          <w:sz w:val="28"/>
          <w:szCs w:val="28"/>
          <w:shd w:val="clear" w:color="auto" w:fill="auto"/>
        </w:rPr>
        <w:t xml:space="preserve">  综合公园和居住区公园规划指标表</w:t>
      </w:r>
    </w:p>
    <w:tbl>
      <w:tblPr>
        <w:tblStyle w:val="25"/>
        <w:tblW w:w="9256" w:type="dxa"/>
        <w:jc w:val="center"/>
        <w:tblLayout w:type="fixed"/>
        <w:tblCellMar>
          <w:top w:w="0" w:type="dxa"/>
          <w:left w:w="0" w:type="dxa"/>
          <w:bottom w:w="0" w:type="dxa"/>
          <w:right w:w="0" w:type="dxa"/>
        </w:tblCellMar>
      </w:tblPr>
      <w:tblGrid>
        <w:gridCol w:w="600"/>
        <w:gridCol w:w="710"/>
        <w:gridCol w:w="1284"/>
        <w:gridCol w:w="1275"/>
        <w:gridCol w:w="1276"/>
        <w:gridCol w:w="1567"/>
        <w:gridCol w:w="2544"/>
      </w:tblGrid>
      <w:tr>
        <w:tblPrEx>
          <w:tblCellMar>
            <w:top w:w="0" w:type="dxa"/>
            <w:left w:w="0" w:type="dxa"/>
            <w:bottom w:w="0" w:type="dxa"/>
            <w:right w:w="0" w:type="dxa"/>
          </w:tblCellMar>
        </w:tblPrEx>
        <w:trPr>
          <w:trHeight w:val="23" w:hRule="atLeast"/>
          <w:jc w:val="center"/>
        </w:trPr>
        <w:tc>
          <w:tcPr>
            <w:tcW w:w="1310" w:type="dxa"/>
            <w:gridSpan w:val="2"/>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类别</w:t>
            </w:r>
          </w:p>
        </w:tc>
        <w:tc>
          <w:tcPr>
            <w:tcW w:w="128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服务半径</w:t>
            </w: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（m）</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人均指标</w:t>
            </w: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（m²/人）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最小规模</w:t>
            </w: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（hm²）</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最小宽度</w:t>
            </w: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（m）</w:t>
            </w:r>
          </w:p>
        </w:tc>
        <w:tc>
          <w:tcPr>
            <w:tcW w:w="254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spacing w:val="14"/>
                <w:w w:val="105"/>
                <w:sz w:val="24"/>
                <w:szCs w:val="24"/>
                <w:shd w:val="clear" w:color="auto" w:fill="auto"/>
                <w:lang w:eastAsia="en-US"/>
              </w:rPr>
            </w:pPr>
            <w:r>
              <w:rPr>
                <w:rFonts w:hint="eastAsia" w:ascii="仿宋" w:hAnsi="仿宋" w:eastAsia="仿宋" w:cs="仿宋"/>
                <w:b/>
                <w:bCs/>
                <w:color w:val="auto"/>
                <w:spacing w:val="14"/>
                <w:w w:val="105"/>
                <w:sz w:val="24"/>
                <w:szCs w:val="24"/>
                <w:shd w:val="clear" w:color="auto" w:fill="auto"/>
                <w:lang w:eastAsia="en-US"/>
              </w:rPr>
              <w:t>备注</w:t>
            </w:r>
          </w:p>
        </w:tc>
      </w:tr>
      <w:tr>
        <w:tblPrEx>
          <w:tblCellMar>
            <w:top w:w="0" w:type="dxa"/>
            <w:left w:w="0" w:type="dxa"/>
            <w:bottom w:w="0" w:type="dxa"/>
            <w:right w:w="0" w:type="dxa"/>
          </w:tblCellMar>
        </w:tblPrEx>
        <w:trPr>
          <w:trHeight w:val="23" w:hRule="atLeast"/>
          <w:jc w:val="center"/>
        </w:trPr>
        <w:tc>
          <w:tcPr>
            <w:tcW w:w="1310" w:type="dxa"/>
            <w:gridSpan w:val="2"/>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综合公园</w:t>
            </w:r>
          </w:p>
        </w:tc>
        <w:tc>
          <w:tcPr>
            <w:tcW w:w="128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≥1200</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3.0</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10.0</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w:t>
            </w:r>
          </w:p>
        </w:tc>
        <w:tc>
          <w:tcPr>
            <w:tcW w:w="254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不含居住区公园及以下级的绿地指标</w:t>
            </w:r>
          </w:p>
        </w:tc>
      </w:tr>
      <w:tr>
        <w:tblPrEx>
          <w:tblCellMar>
            <w:top w:w="0" w:type="dxa"/>
            <w:left w:w="0" w:type="dxa"/>
            <w:bottom w:w="0" w:type="dxa"/>
            <w:right w:w="0" w:type="dxa"/>
          </w:tblCellMar>
        </w:tblPrEx>
        <w:trPr>
          <w:trHeight w:val="23" w:hRule="atLeast"/>
          <w:jc w:val="center"/>
        </w:trPr>
        <w:tc>
          <w:tcPr>
            <w:tcW w:w="600" w:type="dxa"/>
            <w:vMerge w:val="restar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居住 区公 园</w:t>
            </w:r>
          </w:p>
        </w:tc>
        <w:tc>
          <w:tcPr>
            <w:tcW w:w="710" w:type="dxa"/>
            <w:vMerge w:val="restart"/>
            <w:tcBorders>
              <w:top w:val="single" w:color="000000" w:sz="4" w:space="0"/>
              <w:left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社区 公园</w:t>
            </w:r>
          </w:p>
        </w:tc>
        <w:tc>
          <w:tcPr>
            <w:tcW w:w="128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800-1000</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2.0</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5.0</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80</w:t>
            </w:r>
          </w:p>
        </w:tc>
        <w:tc>
          <w:tcPr>
            <w:tcW w:w="254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pacing w:val="-9"/>
                <w:sz w:val="24"/>
                <w:szCs w:val="24"/>
                <w:shd w:val="clear" w:color="auto" w:fill="auto"/>
                <w:lang w:eastAsia="zh-CN"/>
              </w:rPr>
              <w:t>属于十五分钟生活圈，且不含十</w:t>
            </w:r>
            <w:r>
              <w:rPr>
                <w:rFonts w:hint="eastAsia" w:ascii="仿宋" w:hAnsi="仿宋" w:eastAsia="仿宋" w:cs="仿宋"/>
                <w:color w:val="auto"/>
                <w:sz w:val="24"/>
                <w:szCs w:val="24"/>
                <w:shd w:val="clear" w:color="auto" w:fill="auto"/>
                <w:lang w:eastAsia="zh-CN"/>
              </w:rPr>
              <w:t>分钟生活圈及以下级居住区的 公园绿地指标</w:t>
            </w:r>
          </w:p>
        </w:tc>
      </w:tr>
      <w:tr>
        <w:tblPrEx>
          <w:tblCellMar>
            <w:top w:w="0" w:type="dxa"/>
            <w:left w:w="0" w:type="dxa"/>
            <w:bottom w:w="0" w:type="dxa"/>
            <w:right w:w="0" w:type="dxa"/>
          </w:tblCellMar>
        </w:tblPrEx>
        <w:trPr>
          <w:trHeight w:val="23" w:hRule="atLeast"/>
          <w:jc w:val="center"/>
        </w:trPr>
        <w:tc>
          <w:tcPr>
            <w:tcW w:w="600"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tc>
        <w:tc>
          <w:tcPr>
            <w:tcW w:w="710"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tc>
        <w:tc>
          <w:tcPr>
            <w:tcW w:w="128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500</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1.0</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1.0</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50</w:t>
            </w:r>
          </w:p>
        </w:tc>
        <w:tc>
          <w:tcPr>
            <w:tcW w:w="254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pacing w:val="-9"/>
                <w:sz w:val="24"/>
                <w:szCs w:val="24"/>
                <w:shd w:val="clear" w:color="auto" w:fill="auto"/>
                <w:lang w:eastAsia="zh-CN"/>
              </w:rPr>
              <w:t>属于十分钟生活圈，且不含五分</w:t>
            </w:r>
            <w:r>
              <w:rPr>
                <w:rFonts w:hint="eastAsia" w:ascii="仿宋" w:hAnsi="仿宋" w:eastAsia="仿宋" w:cs="仿宋"/>
                <w:color w:val="auto"/>
                <w:sz w:val="24"/>
                <w:szCs w:val="24"/>
                <w:shd w:val="clear" w:color="auto" w:fill="auto"/>
                <w:lang w:eastAsia="zh-CN"/>
              </w:rPr>
              <w:t>钟生活圈及以下级居住区的公 园绿地指标</w:t>
            </w:r>
          </w:p>
        </w:tc>
      </w:tr>
      <w:tr>
        <w:tblPrEx>
          <w:tblCellMar>
            <w:top w:w="0" w:type="dxa"/>
            <w:left w:w="0" w:type="dxa"/>
            <w:bottom w:w="0" w:type="dxa"/>
            <w:right w:w="0" w:type="dxa"/>
          </w:tblCellMar>
        </w:tblPrEx>
        <w:trPr>
          <w:trHeight w:val="23" w:hRule="atLeast"/>
          <w:jc w:val="center"/>
        </w:trPr>
        <w:tc>
          <w:tcPr>
            <w:tcW w:w="600"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tc>
        <w:tc>
          <w:tcPr>
            <w:tcW w:w="710"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游园</w:t>
            </w:r>
          </w:p>
        </w:tc>
        <w:tc>
          <w:tcPr>
            <w:tcW w:w="128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300</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1.0</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0.4</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en-US"/>
              </w:rPr>
            </w:pPr>
            <w:r>
              <w:rPr>
                <w:rFonts w:hint="eastAsia" w:ascii="仿宋" w:hAnsi="仿宋" w:eastAsia="仿宋" w:cs="仿宋"/>
                <w:color w:val="auto"/>
                <w:sz w:val="24"/>
                <w:szCs w:val="24"/>
                <w:shd w:val="clear" w:color="auto" w:fill="auto"/>
                <w:lang w:eastAsia="en-US"/>
              </w:rPr>
              <w:t>30</w:t>
            </w:r>
          </w:p>
        </w:tc>
        <w:tc>
          <w:tcPr>
            <w:tcW w:w="2544" w:type="dxa"/>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pacing w:val="-9"/>
                <w:sz w:val="24"/>
                <w:szCs w:val="24"/>
                <w:shd w:val="clear" w:color="auto" w:fill="auto"/>
                <w:lang w:eastAsia="zh-CN"/>
              </w:rPr>
              <w:t>属于五分钟生活圈，且不含居住街坊的绿地指标。老城区的最小</w:t>
            </w:r>
            <w:r>
              <w:rPr>
                <w:rFonts w:hint="eastAsia" w:ascii="仿宋" w:hAnsi="仿宋" w:eastAsia="仿宋" w:cs="仿宋"/>
                <w:color w:val="auto"/>
                <w:spacing w:val="-108"/>
                <w:sz w:val="24"/>
                <w:szCs w:val="24"/>
                <w:shd w:val="clear" w:color="auto" w:fill="auto"/>
                <w:lang w:eastAsia="zh-CN"/>
              </w:rPr>
              <w:t xml:space="preserve"> </w:t>
            </w:r>
            <w:r>
              <w:rPr>
                <w:rFonts w:hint="eastAsia" w:ascii="仿宋" w:hAnsi="仿宋" w:eastAsia="仿宋" w:cs="仿宋"/>
                <w:color w:val="auto"/>
                <w:sz w:val="24"/>
                <w:szCs w:val="24"/>
                <w:shd w:val="clear" w:color="auto" w:fill="auto"/>
                <w:lang w:eastAsia="zh-CN"/>
              </w:rPr>
              <w:t>规模可下调至</w:t>
            </w:r>
            <w:r>
              <w:rPr>
                <w:rFonts w:hint="eastAsia" w:ascii="仿宋" w:hAnsi="仿宋" w:eastAsia="仿宋" w:cs="仿宋"/>
                <w:color w:val="auto"/>
                <w:spacing w:val="-60"/>
                <w:sz w:val="24"/>
                <w:szCs w:val="24"/>
                <w:shd w:val="clear" w:color="auto" w:fill="auto"/>
                <w:lang w:eastAsia="zh-CN"/>
              </w:rPr>
              <w:t xml:space="preserve"> </w:t>
            </w:r>
            <w:r>
              <w:rPr>
                <w:rFonts w:hint="eastAsia" w:ascii="仿宋" w:hAnsi="仿宋" w:eastAsia="仿宋" w:cs="仿宋"/>
                <w:color w:val="auto"/>
                <w:sz w:val="24"/>
                <w:szCs w:val="24"/>
                <w:shd w:val="clear" w:color="auto" w:fill="auto"/>
                <w:lang w:eastAsia="zh-CN"/>
              </w:rPr>
              <w:t>0.2</w:t>
            </w:r>
            <w:r>
              <w:rPr>
                <w:rFonts w:hint="eastAsia" w:ascii="仿宋" w:hAnsi="仿宋" w:eastAsia="仿宋" w:cs="仿宋"/>
                <w:color w:val="auto"/>
                <w:spacing w:val="-60"/>
                <w:sz w:val="24"/>
                <w:szCs w:val="24"/>
                <w:shd w:val="clear" w:color="auto" w:fill="auto"/>
                <w:lang w:eastAsia="zh-CN"/>
              </w:rPr>
              <w:t xml:space="preserve"> </w:t>
            </w:r>
            <w:r>
              <w:rPr>
                <w:rFonts w:hint="eastAsia" w:ascii="仿宋" w:hAnsi="仿宋" w:eastAsia="仿宋" w:cs="仿宋"/>
                <w:color w:val="auto"/>
                <w:sz w:val="24"/>
                <w:szCs w:val="24"/>
                <w:shd w:val="clear" w:color="auto" w:fill="auto"/>
                <w:lang w:eastAsia="zh-CN"/>
              </w:rPr>
              <w:t>公顷</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21"/>
          <w:szCs w:val="21"/>
          <w:shd w:val="clear" w:color="auto" w:fill="auto"/>
        </w:rPr>
        <w:t>注：居住区公园中应设置 10%～15%的体育活动场地；②当旧区改建无法满足上表规定时，人均指标不应低于相应控制指标的 70%。</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ind w:left="29" w:leftChars="14" w:firstLine="600" w:firstLineChars="200"/>
        <w:jc w:val="both"/>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val="en-US" w:eastAsia="zh-CN" w:bidi="ar"/>
        </w:rPr>
        <w:t>9</w:t>
      </w:r>
      <w:r>
        <w:rPr>
          <w:rFonts w:hint="eastAsia" w:ascii="仿宋" w:hAnsi="仿宋" w:eastAsia="仿宋" w:cs="仿宋"/>
          <w:color w:val="auto"/>
          <w:sz w:val="30"/>
          <w:szCs w:val="30"/>
          <w:shd w:val="clear" w:color="auto" w:fill="auto"/>
          <w:lang w:bidi="ar"/>
        </w:rPr>
        <w:t>、</w:t>
      </w:r>
      <w:r>
        <w:rPr>
          <w:rFonts w:hint="eastAsia" w:ascii="仿宋" w:hAnsi="仿宋" w:eastAsia="仿宋" w:cs="仿宋"/>
          <w:color w:val="auto"/>
          <w:sz w:val="30"/>
          <w:szCs w:val="30"/>
          <w:shd w:val="clear" w:color="auto" w:fill="auto"/>
          <w:lang w:eastAsia="en-US" w:bidi="ar"/>
        </w:rPr>
        <w:t>特殊</w:t>
      </w:r>
      <w:r>
        <w:rPr>
          <w:rFonts w:hint="eastAsia" w:ascii="仿宋" w:hAnsi="仿宋" w:eastAsia="仿宋" w:cs="仿宋"/>
          <w:color w:val="auto"/>
          <w:sz w:val="30"/>
          <w:szCs w:val="30"/>
          <w:shd w:val="clear" w:color="auto" w:fill="auto"/>
          <w:lang w:bidi="ar"/>
        </w:rPr>
        <w:t>用地：</w:t>
      </w:r>
      <w:r>
        <w:rPr>
          <w:rFonts w:hint="eastAsia" w:ascii="仿宋" w:hAnsi="仿宋" w:eastAsia="仿宋" w:cs="仿宋"/>
          <w:color w:val="auto"/>
          <w:sz w:val="30"/>
          <w:szCs w:val="30"/>
          <w:shd w:val="clear" w:color="auto" w:fill="auto"/>
          <w:lang w:val="en-US" w:eastAsia="zh-CN" w:bidi="ar"/>
        </w:rPr>
        <w:t>城市建设应加强对城市</w:t>
      </w:r>
      <w:r>
        <w:rPr>
          <w:rFonts w:hint="eastAsia" w:ascii="仿宋" w:hAnsi="仿宋" w:eastAsia="仿宋" w:cs="仿宋"/>
          <w:color w:val="auto"/>
          <w:sz w:val="30"/>
          <w:szCs w:val="30"/>
          <w:shd w:val="clear" w:color="auto" w:fill="auto"/>
          <w:lang w:bidi="ar"/>
        </w:rPr>
        <w:t>军事、外事、宗教、安保、殡葬等具有特殊性质的用地</w:t>
      </w:r>
      <w:r>
        <w:rPr>
          <w:rFonts w:hint="eastAsia" w:ascii="仿宋" w:hAnsi="仿宋" w:eastAsia="仿宋" w:cs="仿宋"/>
          <w:color w:val="auto"/>
          <w:sz w:val="30"/>
          <w:szCs w:val="30"/>
          <w:shd w:val="clear" w:color="auto" w:fill="auto"/>
          <w:lang w:val="en-US" w:eastAsia="zh-CN" w:bidi="ar"/>
        </w:rPr>
        <w:t>分析评估，依据特殊用途优化布局</w:t>
      </w:r>
      <w:r>
        <w:rPr>
          <w:rFonts w:hint="eastAsia" w:ascii="仿宋" w:hAnsi="仿宋" w:eastAsia="仿宋" w:cs="仿宋"/>
          <w:color w:val="auto"/>
          <w:sz w:val="30"/>
          <w:szCs w:val="30"/>
          <w:shd w:val="clear" w:color="auto" w:fill="auto"/>
          <w:lang w:bidi="ar"/>
        </w:rPr>
        <w:t>。</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ind w:left="29" w:leftChars="14" w:firstLine="600" w:firstLineChars="200"/>
        <w:jc w:val="both"/>
        <w:textAlignment w:val="auto"/>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val="en-US" w:eastAsia="zh-CN" w:bidi="ar"/>
        </w:rPr>
        <w:t>10</w:t>
      </w:r>
      <w:r>
        <w:rPr>
          <w:rFonts w:hint="eastAsia" w:ascii="仿宋" w:hAnsi="仿宋" w:eastAsia="仿宋" w:cs="仿宋"/>
          <w:color w:val="auto"/>
          <w:sz w:val="30"/>
          <w:szCs w:val="30"/>
          <w:shd w:val="clear" w:color="auto" w:fill="auto"/>
          <w:lang w:bidi="ar"/>
        </w:rPr>
        <w:t>、</w:t>
      </w:r>
      <w:r>
        <w:rPr>
          <w:rFonts w:hint="eastAsia" w:ascii="仿宋" w:hAnsi="仿宋" w:eastAsia="仿宋" w:cs="仿宋"/>
          <w:color w:val="auto"/>
          <w:sz w:val="30"/>
          <w:szCs w:val="30"/>
          <w:shd w:val="clear" w:color="auto" w:fill="auto"/>
          <w:lang w:val="en-US" w:eastAsia="zh-CN" w:bidi="ar"/>
        </w:rPr>
        <w:t>留白</w:t>
      </w:r>
      <w:r>
        <w:rPr>
          <w:rFonts w:hint="eastAsia" w:ascii="仿宋" w:hAnsi="仿宋" w:eastAsia="仿宋" w:cs="仿宋"/>
          <w:color w:val="auto"/>
          <w:sz w:val="30"/>
          <w:szCs w:val="30"/>
          <w:shd w:val="clear" w:color="auto" w:fill="auto"/>
          <w:lang w:bidi="ar"/>
        </w:rPr>
        <w:t>用地：</w:t>
      </w:r>
      <w:r>
        <w:rPr>
          <w:rFonts w:hint="eastAsia" w:ascii="仿宋" w:hAnsi="仿宋" w:eastAsia="仿宋" w:cs="仿宋"/>
          <w:color w:val="auto"/>
          <w:sz w:val="30"/>
          <w:szCs w:val="30"/>
          <w:shd w:val="clear" w:color="auto" w:fill="auto"/>
          <w:lang w:val="en-US" w:eastAsia="zh-CN" w:bidi="ar"/>
        </w:rPr>
        <w:t>城市留白用地</w:t>
      </w:r>
      <w:r>
        <w:rPr>
          <w:rFonts w:hint="eastAsia" w:ascii="仿宋" w:hAnsi="仿宋" w:eastAsia="仿宋" w:cs="仿宋"/>
          <w:color w:val="auto"/>
          <w:sz w:val="30"/>
          <w:szCs w:val="30"/>
          <w:shd w:val="clear" w:color="auto" w:fill="auto"/>
          <w:lang w:bidi="ar"/>
        </w:rPr>
        <w:t xml:space="preserve">指国土空间规划确定的城镇范围内暂未明确规划用途、规划期内不开发或特定条件下开发的用地 </w:t>
      </w:r>
      <w:r>
        <w:rPr>
          <w:rFonts w:hint="eastAsia" w:ascii="仿宋" w:hAnsi="仿宋" w:eastAsia="仿宋" w:cs="仿宋"/>
          <w:color w:val="auto"/>
          <w:sz w:val="30"/>
          <w:szCs w:val="30"/>
          <w:shd w:val="clear" w:color="auto" w:fill="auto"/>
          <w:lang w:val="en-US" w:eastAsia="zh-CN" w:bidi="ar"/>
        </w:rPr>
        <w:t>留白用地选址与规模应与战略预留区、城镇弹性发展区等规划成果应尽量衔接协同划定。</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28"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eastAsia="zh-CN"/>
        </w:rPr>
        <w:t>湘西自治州</w:t>
      </w:r>
      <w:r>
        <w:rPr>
          <w:rFonts w:hint="eastAsia" w:ascii="仿宋_GB2312" w:hAnsi="仿宋_GB2312" w:eastAsia="仿宋_GB2312" w:cs="仿宋_GB2312"/>
          <w:color w:val="auto"/>
          <w:sz w:val="30"/>
          <w:szCs w:val="30"/>
          <w:shd w:val="clear" w:color="auto" w:fill="auto"/>
          <w:lang w:val="en-US" w:eastAsia="zh-CN"/>
        </w:rPr>
        <w:t>城镇开发边界范围内</w:t>
      </w:r>
      <w:r>
        <w:rPr>
          <w:rFonts w:hint="eastAsia" w:ascii="仿宋" w:hAnsi="仿宋" w:eastAsia="仿宋" w:cs="仿宋"/>
          <w:color w:val="auto"/>
          <w:sz w:val="30"/>
          <w:szCs w:val="30"/>
          <w:shd w:val="clear" w:color="auto" w:fill="auto"/>
        </w:rPr>
        <w:t>划分为若干个单元，每个单元应依法编制详细规划, 并结合城市发展和实施情况适时进行动态更新和维护。城市各类建设用地使用应以批准的详细规划为依据，并遵循土地使用兼容性原则。</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尚未批准的详细规划</w:t>
      </w:r>
      <w:r>
        <w:rPr>
          <w:rFonts w:hint="eastAsia" w:ascii="仿宋" w:hAnsi="仿宋" w:eastAsia="仿宋" w:cs="仿宋"/>
          <w:color w:val="auto"/>
          <w:sz w:val="30"/>
          <w:szCs w:val="30"/>
          <w:shd w:val="clear" w:color="auto" w:fill="auto"/>
          <w:lang w:val="en-US" w:eastAsia="zh-CN"/>
        </w:rPr>
        <w:t>或</w:t>
      </w:r>
      <w:r>
        <w:rPr>
          <w:rFonts w:hint="eastAsia" w:ascii="仿宋" w:hAnsi="仿宋" w:eastAsia="仿宋" w:cs="仿宋"/>
          <w:color w:val="auto"/>
          <w:sz w:val="30"/>
          <w:szCs w:val="30"/>
          <w:shd w:val="clear" w:color="auto" w:fill="auto"/>
          <w:lang w:eastAsia="zh-CN"/>
        </w:rPr>
        <w:t>详细规划未明确兼容性范围的，应按</w:t>
      </w:r>
      <w:r>
        <w:rPr>
          <w:rFonts w:hint="eastAsia" w:ascii="仿宋" w:hAnsi="仿宋" w:eastAsia="仿宋" w:cs="仿宋"/>
          <w:color w:val="auto"/>
          <w:sz w:val="30"/>
          <w:szCs w:val="30"/>
          <w:shd w:val="clear" w:color="auto" w:fill="auto"/>
          <w:lang w:val="en-US" w:eastAsia="zh-CN"/>
        </w:rPr>
        <w:t>国土空间总体</w:t>
      </w:r>
      <w:r>
        <w:rPr>
          <w:rFonts w:hint="eastAsia" w:ascii="仿宋" w:hAnsi="仿宋" w:eastAsia="仿宋" w:cs="仿宋"/>
          <w:color w:val="auto"/>
          <w:sz w:val="30"/>
          <w:szCs w:val="30"/>
          <w:shd w:val="clear" w:color="auto" w:fill="auto"/>
          <w:lang w:eastAsia="zh-CN"/>
        </w:rPr>
        <w:t>规划和本规定</w:t>
      </w:r>
      <w:r>
        <w:rPr>
          <w:rFonts w:hint="eastAsia" w:ascii="仿宋" w:hAnsi="仿宋" w:eastAsia="仿宋" w:cs="仿宋"/>
          <w:color w:val="auto"/>
          <w:sz w:val="30"/>
          <w:szCs w:val="30"/>
          <w:shd w:val="clear" w:color="auto" w:fill="auto"/>
          <w:lang w:val="en-US" w:eastAsia="zh-CN"/>
        </w:rPr>
        <w:t>的</w:t>
      </w:r>
      <w:r>
        <w:rPr>
          <w:rFonts w:hint="eastAsia" w:ascii="仿宋" w:hAnsi="仿宋" w:eastAsia="仿宋" w:cs="仿宋"/>
          <w:color w:val="auto"/>
          <w:sz w:val="30"/>
          <w:szCs w:val="30"/>
          <w:shd w:val="clear" w:color="auto" w:fill="auto"/>
          <w:lang w:eastAsia="zh-CN"/>
        </w:rPr>
        <w:t>《各类建设用地适建范围表》（见附表一）的规定执行。凡</w:t>
      </w:r>
      <w:r>
        <w:rPr>
          <w:rFonts w:hint="eastAsia" w:ascii="仿宋" w:hAnsi="仿宋" w:eastAsia="仿宋" w:cs="仿宋"/>
          <w:color w:val="auto"/>
          <w:sz w:val="30"/>
          <w:szCs w:val="30"/>
          <w:shd w:val="clear" w:color="auto" w:fill="auto"/>
          <w:lang w:val="en-US" w:eastAsia="zh-CN"/>
        </w:rPr>
        <w:t>附</w:t>
      </w:r>
      <w:r>
        <w:rPr>
          <w:rFonts w:hint="eastAsia" w:ascii="仿宋" w:hAnsi="仿宋" w:eastAsia="仿宋" w:cs="仿宋"/>
          <w:color w:val="auto"/>
          <w:sz w:val="30"/>
          <w:szCs w:val="30"/>
          <w:shd w:val="clear" w:color="auto" w:fill="auto"/>
          <w:lang w:eastAsia="zh-CN"/>
        </w:rPr>
        <w:t>表一中未列入的建设项目，应由</w:t>
      </w:r>
      <w:r>
        <w:rPr>
          <w:rFonts w:hint="eastAsia" w:ascii="仿宋" w:hAnsi="仿宋" w:eastAsia="仿宋" w:cs="仿宋"/>
          <w:color w:val="auto"/>
          <w:sz w:val="30"/>
          <w:szCs w:val="30"/>
          <w:shd w:val="clear" w:color="auto" w:fill="auto"/>
          <w:lang w:val="en-US" w:eastAsia="zh-CN"/>
        </w:rPr>
        <w:t>自然资源</w:t>
      </w:r>
      <w:r>
        <w:rPr>
          <w:rFonts w:hint="eastAsia" w:ascii="仿宋" w:hAnsi="仿宋" w:eastAsia="仿宋" w:cs="仿宋"/>
          <w:color w:val="auto"/>
          <w:sz w:val="30"/>
          <w:szCs w:val="30"/>
          <w:shd w:val="clear" w:color="auto" w:fill="auto"/>
          <w:lang w:eastAsia="zh-CN"/>
        </w:rPr>
        <w:t>主管部门根据其对周围环境的影响和基础设施条件具体核定适建范围。</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28" w:firstLine="640" w:firstLineChars="200"/>
        <w:jc w:val="both"/>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2"/>
          <w:szCs w:val="32"/>
          <w:shd w:val="clear" w:color="auto" w:fill="auto"/>
          <w:lang w:eastAsia="zh-CN"/>
        </w:rPr>
        <w:t>需要改变建设用地规划使用性质，且不符合土地使用兼容性，应当先申请调整</w:t>
      </w:r>
      <w:r>
        <w:rPr>
          <w:rFonts w:hint="eastAsia" w:ascii="仿宋" w:hAnsi="仿宋" w:eastAsia="仿宋" w:cs="仿宋"/>
          <w:color w:val="auto"/>
          <w:sz w:val="32"/>
          <w:szCs w:val="32"/>
          <w:shd w:val="clear" w:color="auto" w:fill="auto"/>
          <w:lang w:val="en-US" w:eastAsia="zh-CN"/>
        </w:rPr>
        <w:t>国土空间总体</w:t>
      </w:r>
      <w:r>
        <w:rPr>
          <w:rFonts w:hint="eastAsia" w:ascii="仿宋" w:hAnsi="仿宋" w:eastAsia="仿宋" w:cs="仿宋"/>
          <w:color w:val="auto"/>
          <w:sz w:val="32"/>
          <w:szCs w:val="32"/>
          <w:shd w:val="clear" w:color="auto" w:fill="auto"/>
          <w:lang w:eastAsia="zh-CN"/>
        </w:rPr>
        <w:t>规划和详细规划，再按规定程序报批</w:t>
      </w:r>
      <w:r>
        <w:rPr>
          <w:rFonts w:hint="eastAsia" w:ascii="仿宋" w:hAnsi="仿宋" w:eastAsia="仿宋" w:cs="仿宋"/>
          <w:color w:val="auto"/>
          <w:sz w:val="30"/>
          <w:szCs w:val="30"/>
          <w:shd w:val="clear" w:color="auto" w:fill="auto"/>
          <w:lang w:eastAsia="zh-CN"/>
        </w:rPr>
        <w:t>。</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rPr>
      </w:pPr>
      <w:bookmarkStart w:id="7" w:name="_Toc8396"/>
      <w:bookmarkStart w:id="8" w:name="_Toc21240"/>
      <w:r>
        <w:rPr>
          <w:rFonts w:hint="eastAsia"/>
          <w:b w:val="0"/>
          <w:bCs/>
          <w:color w:val="auto"/>
          <w:shd w:val="clear" w:color="auto" w:fill="auto"/>
        </w:rPr>
        <w:t>第</w:t>
      </w:r>
      <w:r>
        <w:rPr>
          <w:rFonts w:hint="eastAsia"/>
          <w:b w:val="0"/>
          <w:bCs/>
          <w:color w:val="auto"/>
          <w:shd w:val="clear" w:color="auto" w:fill="auto"/>
          <w:lang w:val="en-US" w:eastAsia="zh-CN"/>
        </w:rPr>
        <w:t>二</w:t>
      </w:r>
      <w:r>
        <w:rPr>
          <w:rFonts w:hint="eastAsia"/>
          <w:b w:val="0"/>
          <w:bCs/>
          <w:color w:val="auto"/>
          <w:shd w:val="clear" w:color="auto" w:fill="auto"/>
        </w:rPr>
        <w:t>节 建筑容量控制</w:t>
      </w:r>
      <w:bookmarkEnd w:id="7"/>
      <w:bookmarkEnd w:id="8"/>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0" w:beforeLines="50" w:beforeAutospacing="0" w:afterAutospacing="0" w:line="360" w:lineRule="auto"/>
        <w:ind w:left="28"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新建、改建、扩建建设工程的建筑容量控制指标（含容积率、建筑密度和绿地率）应符合地块详细规划的规定，一般按表2.4 进行控制。</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jc w:val="center"/>
        <w:textAlignment w:val="auto"/>
        <w:rPr>
          <w:rFonts w:hint="eastAsia" w:ascii="仿宋" w:hAnsi="仿宋" w:eastAsia="仿宋" w:cs="仿宋"/>
          <w:b/>
          <w:color w:val="auto"/>
          <w:sz w:val="28"/>
          <w:szCs w:val="28"/>
          <w:shd w:val="clear" w:color="auto" w:fill="auto"/>
        </w:rPr>
      </w:pP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jc w:val="center"/>
        <w:textAlignment w:val="auto"/>
        <w:rPr>
          <w:rFonts w:hint="eastAsia" w:ascii="仿宋" w:hAnsi="仿宋" w:eastAsia="仿宋" w:cs="仿宋"/>
          <w:b/>
          <w:color w:val="auto"/>
          <w:sz w:val="28"/>
          <w:szCs w:val="28"/>
          <w:shd w:val="clear" w:color="auto" w:fill="auto"/>
        </w:rPr>
      </w:pPr>
      <w:r>
        <w:rPr>
          <w:rFonts w:hint="eastAsia" w:ascii="仿宋" w:hAnsi="仿宋" w:eastAsia="仿宋" w:cs="仿宋"/>
          <w:b/>
          <w:color w:val="auto"/>
          <w:sz w:val="28"/>
          <w:szCs w:val="28"/>
          <w:shd w:val="clear" w:color="auto" w:fill="auto"/>
        </w:rPr>
        <w:t>表2.</w:t>
      </w:r>
      <w:r>
        <w:rPr>
          <w:rFonts w:hint="eastAsia" w:ascii="仿宋" w:hAnsi="仿宋" w:eastAsia="仿宋" w:cs="仿宋"/>
          <w:b/>
          <w:color w:val="auto"/>
          <w:sz w:val="28"/>
          <w:szCs w:val="28"/>
          <w:shd w:val="clear" w:color="auto" w:fill="auto"/>
          <w:lang w:val="en-US" w:eastAsia="zh-CN"/>
        </w:rPr>
        <w:t>4</w:t>
      </w:r>
      <w:r>
        <w:rPr>
          <w:rFonts w:hint="eastAsia" w:ascii="仿宋" w:hAnsi="仿宋" w:eastAsia="仿宋" w:cs="仿宋"/>
          <w:b/>
          <w:color w:val="auto"/>
          <w:sz w:val="28"/>
          <w:szCs w:val="28"/>
          <w:shd w:val="clear" w:color="auto" w:fill="auto"/>
        </w:rPr>
        <w:t xml:space="preserve">   城市建设用地容量控制指标表</w:t>
      </w:r>
    </w:p>
    <w:tbl>
      <w:tblPr>
        <w:tblStyle w:val="12"/>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0"/>
        <w:gridCol w:w="1000"/>
        <w:gridCol w:w="960"/>
        <w:gridCol w:w="960"/>
        <w:gridCol w:w="960"/>
        <w:gridCol w:w="1099"/>
        <w:gridCol w:w="9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40" w:type="dxa"/>
            <w:gridSpan w:val="2"/>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建设类型</w:t>
            </w:r>
          </w:p>
        </w:tc>
        <w:tc>
          <w:tcPr>
            <w:tcW w:w="192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建筑密度(%)</w:t>
            </w:r>
          </w:p>
        </w:tc>
        <w:tc>
          <w:tcPr>
            <w:tcW w:w="205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容积率</w:t>
            </w:r>
          </w:p>
        </w:tc>
        <w:tc>
          <w:tcPr>
            <w:tcW w:w="2127"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40" w:type="dxa"/>
            <w:gridSpan w:val="2"/>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新区</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lang w:eastAsia="zh-CN"/>
              </w:rPr>
              <w:t>旧</w:t>
            </w:r>
            <w:r>
              <w:rPr>
                <w:rFonts w:hint="eastAsia" w:ascii="仿宋" w:hAnsi="仿宋" w:eastAsia="仿宋" w:cs="仿宋"/>
                <w:b/>
                <w:bCs/>
                <w:color w:val="auto"/>
                <w:kern w:val="0"/>
                <w:sz w:val="24"/>
                <w:szCs w:val="24"/>
                <w:shd w:val="clear" w:color="auto" w:fill="auto"/>
              </w:rPr>
              <w:t>区</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新区</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lang w:eastAsia="zh-CN"/>
              </w:rPr>
              <w:t>旧</w:t>
            </w:r>
            <w:r>
              <w:rPr>
                <w:rFonts w:hint="eastAsia" w:ascii="仿宋" w:hAnsi="仿宋" w:eastAsia="仿宋" w:cs="仿宋"/>
                <w:b/>
                <w:bCs/>
                <w:color w:val="auto"/>
                <w:kern w:val="0"/>
                <w:sz w:val="24"/>
                <w:szCs w:val="24"/>
                <w:shd w:val="clear" w:color="auto" w:fill="auto"/>
              </w:rPr>
              <w:t>区</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新区</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lang w:eastAsia="zh-CN"/>
              </w:rPr>
              <w:t>旧</w:t>
            </w:r>
            <w:r>
              <w:rPr>
                <w:rFonts w:hint="eastAsia" w:ascii="仿宋" w:hAnsi="仿宋" w:eastAsia="仿宋" w:cs="仿宋"/>
                <w:b/>
                <w:bCs/>
                <w:color w:val="auto"/>
                <w:kern w:val="0"/>
                <w:sz w:val="24"/>
                <w:szCs w:val="24"/>
                <w:shd w:val="clear" w:color="auto" w:fill="auto"/>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0"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住宅建筑类</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低层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≤35</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≤1.1</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rPr>
              <w:t>≥3</w:t>
            </w:r>
            <w:r>
              <w:rPr>
                <w:rFonts w:hint="eastAsia" w:ascii="仿宋" w:hAnsi="仿宋" w:eastAsia="仿宋" w:cs="仿宋"/>
                <w:color w:val="auto"/>
                <w:kern w:val="0"/>
                <w:sz w:val="24"/>
                <w:szCs w:val="24"/>
                <w:shd w:val="clear" w:color="auto" w:fill="auto"/>
                <w:lang w:val="en-US" w:eastAsia="zh-CN"/>
              </w:rPr>
              <w:t>1</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多层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≤28</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≤1.7</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≤1.8</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rPr>
              <w:t>≥</w:t>
            </w:r>
            <w:r>
              <w:rPr>
                <w:rFonts w:hint="eastAsia" w:ascii="仿宋" w:hAnsi="仿宋" w:eastAsia="仿宋" w:cs="仿宋"/>
                <w:color w:val="auto"/>
                <w:kern w:val="0"/>
                <w:sz w:val="24"/>
                <w:szCs w:val="24"/>
                <w:shd w:val="clear" w:color="auto" w:fill="auto"/>
                <w:lang w:val="en-US" w:eastAsia="zh-CN"/>
              </w:rPr>
              <w:t>36</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840"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高层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22</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rPr>
              <w:t>≤3.1</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≤2.6</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w:t>
            </w:r>
            <w:r>
              <w:rPr>
                <w:rFonts w:hint="eastAsia" w:ascii="仿宋" w:hAnsi="仿宋" w:eastAsia="仿宋" w:cs="仿宋"/>
                <w:color w:val="auto"/>
                <w:kern w:val="0"/>
                <w:sz w:val="24"/>
                <w:szCs w:val="24"/>
                <w:shd w:val="clear" w:color="auto" w:fill="auto"/>
                <w:lang w:val="en-US" w:eastAsia="zh-CN"/>
              </w:rPr>
              <w:t>36</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840"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办公建筑类</w:t>
            </w: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单层、多层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≤45</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≤2.5</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高层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≤35</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≤6</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840"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商业建筑类</w:t>
            </w: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单层、多层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≤55</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≤60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≤3.5</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4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高层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≤50</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≤55</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≤5.5</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≤6.5</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840"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工业建筑类</w:t>
            </w:r>
          </w:p>
        </w:tc>
        <w:tc>
          <w:tcPr>
            <w:tcW w:w="6106"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新</w:t>
            </w:r>
            <w:r>
              <w:rPr>
                <w:rFonts w:hint="eastAsia" w:ascii="仿宋" w:hAnsi="仿宋" w:eastAsia="仿宋" w:cs="仿宋"/>
                <w:color w:val="auto"/>
                <w:kern w:val="0"/>
                <w:sz w:val="24"/>
                <w:szCs w:val="24"/>
                <w:shd w:val="clear" w:color="auto" w:fill="auto"/>
                <w:lang w:val="en-US" w:eastAsia="zh-CN"/>
              </w:rPr>
              <w:t>改建</w:t>
            </w:r>
            <w:r>
              <w:rPr>
                <w:rFonts w:hint="eastAsia" w:ascii="仿宋" w:hAnsi="仿宋" w:eastAsia="仿宋" w:cs="仿宋"/>
                <w:color w:val="auto"/>
                <w:kern w:val="0"/>
                <w:sz w:val="24"/>
                <w:szCs w:val="24"/>
                <w:shd w:val="clear" w:color="auto" w:fill="auto"/>
              </w:rPr>
              <w:t>工业项目容积率</w:t>
            </w:r>
            <w:r>
              <w:rPr>
                <w:rFonts w:hint="eastAsia" w:ascii="宋体" w:hAnsi="宋体" w:eastAsia="宋体" w:cs="宋体"/>
                <w:color w:val="auto"/>
                <w:sz w:val="21"/>
                <w:szCs w:val="21"/>
                <w:shd w:val="clear" w:color="auto" w:fill="auto"/>
                <w:vertAlign w:val="baseline"/>
                <w:lang w:val="en-US" w:eastAsia="zh-CN"/>
              </w:rPr>
              <w:t>》</w:t>
            </w:r>
            <w:r>
              <w:rPr>
                <w:rFonts w:hint="eastAsia" w:ascii="仿宋" w:hAnsi="仿宋" w:eastAsia="仿宋" w:cs="仿宋"/>
                <w:color w:val="auto"/>
                <w:kern w:val="0"/>
                <w:sz w:val="24"/>
                <w:szCs w:val="24"/>
                <w:shd w:val="clear" w:color="auto" w:fill="auto"/>
                <w:lang w:val="en-US" w:eastAsia="zh-CN"/>
              </w:rPr>
              <w:t>0.8</w:t>
            </w:r>
            <w:r>
              <w:rPr>
                <w:rFonts w:hint="eastAsia" w:ascii="仿宋" w:hAnsi="仿宋" w:eastAsia="仿宋" w:cs="仿宋"/>
                <w:color w:val="auto"/>
                <w:kern w:val="0"/>
                <w:sz w:val="24"/>
                <w:szCs w:val="24"/>
                <w:shd w:val="clear" w:color="auto" w:fill="auto"/>
              </w:rPr>
              <w:t>，建筑系数</w:t>
            </w:r>
            <w:r>
              <w:rPr>
                <w:rFonts w:hint="eastAsia" w:ascii="宋体" w:hAnsi="宋体" w:eastAsia="宋体" w:cs="宋体"/>
                <w:color w:val="auto"/>
                <w:sz w:val="21"/>
                <w:szCs w:val="21"/>
                <w:shd w:val="clear" w:color="auto" w:fill="auto"/>
                <w:vertAlign w:val="baseline"/>
                <w:lang w:val="en-US" w:eastAsia="zh-CN"/>
              </w:rPr>
              <w:t>》</w:t>
            </w:r>
            <w:r>
              <w:rPr>
                <w:rFonts w:hint="eastAsia" w:ascii="仿宋" w:hAnsi="仿宋" w:eastAsia="仿宋" w:cs="仿宋"/>
                <w:color w:val="auto"/>
                <w:kern w:val="0"/>
                <w:sz w:val="24"/>
                <w:szCs w:val="24"/>
                <w:shd w:val="clear" w:color="auto" w:fill="auto"/>
              </w:rPr>
              <w:t>40%，</w:t>
            </w:r>
            <w:r>
              <w:rPr>
                <w:rFonts w:hint="eastAsia" w:ascii="仿宋" w:hAnsi="仿宋" w:eastAsia="仿宋" w:cs="仿宋"/>
                <w:color w:val="auto"/>
                <w:kern w:val="0"/>
                <w:sz w:val="24"/>
                <w:szCs w:val="24"/>
                <w:shd w:val="clear" w:color="auto" w:fill="auto"/>
                <w:lang w:val="en-US" w:eastAsia="zh-CN"/>
              </w:rPr>
              <w:t>绿地率不≤15%，</w:t>
            </w:r>
            <w:r>
              <w:rPr>
                <w:rFonts w:hint="eastAsia" w:ascii="仿宋" w:hAnsi="仿宋" w:eastAsia="仿宋" w:cs="仿宋"/>
                <w:color w:val="auto"/>
                <w:kern w:val="0"/>
                <w:sz w:val="24"/>
                <w:szCs w:val="24"/>
                <w:shd w:val="clear" w:color="auto" w:fill="auto"/>
              </w:rPr>
              <w:t xml:space="preserve">具体根据工业门类确定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40"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仓储建筑 类</w:t>
            </w: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单层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≤48</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≤52</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≤1.0</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≤1.2</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≤15</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840"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p>
        </w:tc>
        <w:tc>
          <w:tcPr>
            <w:tcW w:w="1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多层</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≤42</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≤45</w:t>
            </w:r>
          </w:p>
        </w:tc>
        <w:tc>
          <w:tcPr>
            <w:tcW w:w="9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≤2.0</w:t>
            </w:r>
          </w:p>
        </w:tc>
        <w:tc>
          <w:tcPr>
            <w:tcW w:w="109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≤2.2</w:t>
            </w:r>
          </w:p>
        </w:tc>
        <w:tc>
          <w:tcPr>
            <w:tcW w:w="99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≤15</w:t>
            </w:r>
          </w:p>
        </w:tc>
        <w:tc>
          <w:tcPr>
            <w:tcW w:w="11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≤15</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注：1、“旧区”和“新区”范围在城市国土空间规划总体规划中确定；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2、表中所列数值以单块建筑基地计算，民用建筑及非民用建筑分类标准详见附录 2 名词解释；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3、低层建筑、多层建筑以及高层建筑名词解释详见附录2名词解释；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4、表中指标对应单一类型的建筑用地。</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0" w:beforeLines="50" w:beforeAutospacing="0" w:afterAutospacing="0" w:line="360" w:lineRule="auto"/>
        <w:ind w:left="28"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val="en-US" w:eastAsia="zh-CN"/>
        </w:rPr>
        <w:t>城市</w:t>
      </w:r>
      <w:r>
        <w:rPr>
          <w:rFonts w:hint="eastAsia" w:ascii="仿宋" w:hAnsi="仿宋" w:eastAsia="仿宋" w:cs="仿宋"/>
          <w:color w:val="auto"/>
          <w:sz w:val="30"/>
          <w:szCs w:val="30"/>
          <w:shd w:val="clear" w:color="auto" w:fill="auto"/>
        </w:rPr>
        <w:t>新城区建筑用地面积大于或等于1万平方米、旧城区建筑用地面积大于或等于0.5万平方米的成片开发地区，</w:t>
      </w:r>
      <w:r>
        <w:rPr>
          <w:rFonts w:hint="eastAsia" w:ascii="仿宋" w:hAnsi="仿宋" w:eastAsia="仿宋" w:cs="仿宋"/>
          <w:color w:val="auto"/>
          <w:sz w:val="30"/>
          <w:szCs w:val="30"/>
          <w:shd w:val="clear" w:color="auto" w:fill="auto"/>
        </w:rPr>
        <w:t>应编制详细规划，</w:t>
      </w:r>
      <w:r>
        <w:rPr>
          <w:rFonts w:hint="eastAsia" w:ascii="仿宋" w:hAnsi="仿宋" w:eastAsia="仿宋" w:cs="仿宋"/>
          <w:color w:val="auto"/>
          <w:sz w:val="30"/>
          <w:szCs w:val="30"/>
          <w:shd w:val="clear" w:color="auto" w:fill="auto"/>
        </w:rPr>
        <w:t>经批准后实施。</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成片开发地区的详细规划，应先确定建筑总容量控制指标；在不超过建筑总容量控制指标的前提下，成片开发地区内各类建设用地的建筑容量控制指标可参照</w:t>
      </w:r>
      <w:r>
        <w:rPr>
          <w:rFonts w:hint="eastAsia" w:ascii="仿宋" w:hAnsi="仿宋" w:eastAsia="仿宋" w:cs="仿宋"/>
          <w:color w:val="auto"/>
          <w:sz w:val="30"/>
          <w:szCs w:val="30"/>
          <w:shd w:val="clear" w:color="auto" w:fill="auto"/>
          <w:lang w:val="en-US" w:eastAsia="zh-CN"/>
        </w:rPr>
        <w:t>表2.4</w:t>
      </w:r>
      <w:r>
        <w:rPr>
          <w:rFonts w:hint="eastAsia" w:ascii="仿宋" w:hAnsi="仿宋" w:eastAsia="仿宋" w:cs="仿宋"/>
          <w:color w:val="auto"/>
          <w:sz w:val="30"/>
          <w:szCs w:val="30"/>
          <w:shd w:val="clear" w:color="auto" w:fill="auto"/>
        </w:rPr>
        <w:t>的规定执行。</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新城区建筑用地面积小于1万平方米、旧城区建筑用地面积小于0.5万平方米的重要区域或地段的建筑用地，应编制修建性详细规划，经批准后实施。</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新城区建筑用地面积小于1万平方米、旧城区建筑用地面积小于0.5万平方米的一般区域或地段的建筑用地，建筑容量控制指标在经批准的详细规划中确定的</w:t>
      </w:r>
      <w:r>
        <w:rPr>
          <w:rFonts w:hint="eastAsia" w:ascii="仿宋" w:hAnsi="仿宋" w:eastAsia="仿宋" w:cs="仿宋"/>
          <w:color w:val="auto"/>
          <w:sz w:val="30"/>
          <w:szCs w:val="30"/>
          <w:shd w:val="clear" w:color="auto" w:fill="auto"/>
          <w:lang w:eastAsia="zh-CN"/>
        </w:rPr>
        <w:t>，</w:t>
      </w:r>
      <w:r>
        <w:rPr>
          <w:rFonts w:hint="eastAsia" w:ascii="仿宋" w:hAnsi="仿宋" w:eastAsia="仿宋" w:cs="仿宋"/>
          <w:color w:val="auto"/>
          <w:sz w:val="30"/>
          <w:szCs w:val="30"/>
          <w:shd w:val="clear" w:color="auto" w:fill="auto"/>
        </w:rPr>
        <w:t>应按批准的详细规划执行；尚无批准详细规划的，应当编制建设工程设计方案的总平面图，经批准后实施。其建筑密度控制指标应按</w:t>
      </w:r>
      <w:r>
        <w:rPr>
          <w:rFonts w:hint="eastAsia" w:ascii="仿宋" w:hAnsi="仿宋" w:eastAsia="仿宋" w:cs="仿宋"/>
          <w:color w:val="auto"/>
          <w:sz w:val="30"/>
          <w:szCs w:val="30"/>
          <w:shd w:val="clear" w:color="auto" w:fill="auto"/>
          <w:lang w:val="en-US" w:eastAsia="zh-CN"/>
        </w:rPr>
        <w:t>表2.4</w:t>
      </w:r>
      <w:r>
        <w:rPr>
          <w:rFonts w:hint="eastAsia" w:ascii="仿宋" w:hAnsi="仿宋" w:eastAsia="仿宋" w:cs="仿宋"/>
          <w:color w:val="auto"/>
          <w:sz w:val="30"/>
          <w:szCs w:val="30"/>
          <w:shd w:val="clear" w:color="auto" w:fill="auto"/>
        </w:rPr>
        <w:t>的规定执行。</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对混合类型的建筑用地，其建筑容量控制指标应将建筑用地按使用性质分类规定后，按不同类型分别执行；对难以分类执行的建筑用地和综合楼用地，应按不同性质建筑的建筑面积比例和不同建筑容量控制指标换算建筑容量综合控制指标。</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由同一建设单位开发的同一建设项目中相毗邻的2 个或多个地块，在不影响公共利益、相邻地块权益的前提下，经专家评审论证、</w:t>
      </w:r>
      <w:r>
        <w:rPr>
          <w:rFonts w:hint="eastAsia" w:ascii="仿宋" w:hAnsi="仿宋" w:eastAsia="仿宋" w:cs="仿宋"/>
          <w:color w:val="auto"/>
          <w:sz w:val="30"/>
          <w:szCs w:val="30"/>
          <w:shd w:val="clear" w:color="auto" w:fill="auto"/>
        </w:rPr>
        <w:t>自然资源</w:t>
      </w:r>
      <w:r>
        <w:rPr>
          <w:rFonts w:hint="eastAsia" w:ascii="仿宋" w:hAnsi="仿宋" w:eastAsia="仿宋" w:cs="仿宋"/>
          <w:color w:val="auto"/>
          <w:sz w:val="30"/>
          <w:szCs w:val="30"/>
          <w:shd w:val="clear" w:color="auto" w:fill="auto"/>
          <w:lang w:eastAsia="zh-CN"/>
        </w:rPr>
        <w:t>主管</w:t>
      </w:r>
      <w:r>
        <w:rPr>
          <w:rFonts w:hint="eastAsia" w:ascii="仿宋" w:hAnsi="仿宋" w:eastAsia="仿宋" w:cs="仿宋"/>
          <w:color w:val="auto"/>
          <w:sz w:val="30"/>
          <w:szCs w:val="30"/>
          <w:shd w:val="clear" w:color="auto" w:fill="auto"/>
        </w:rPr>
        <w:t>部门批准</w:t>
      </w:r>
      <w:r>
        <w:rPr>
          <w:rFonts w:hint="eastAsia" w:ascii="仿宋" w:hAnsi="仿宋" w:eastAsia="仿宋" w:cs="仿宋"/>
          <w:color w:val="auto"/>
          <w:sz w:val="30"/>
          <w:szCs w:val="30"/>
          <w:shd w:val="clear" w:color="auto" w:fill="auto"/>
        </w:rPr>
        <w:t>，</w:t>
      </w:r>
      <w:r>
        <w:rPr>
          <w:rFonts w:hint="eastAsia" w:ascii="仿宋" w:hAnsi="仿宋" w:eastAsia="仿宋" w:cs="仿宋"/>
          <w:color w:val="auto"/>
          <w:sz w:val="30"/>
          <w:szCs w:val="30"/>
          <w:shd w:val="clear" w:color="auto" w:fill="auto"/>
        </w:rPr>
        <w:t>相同</w:t>
      </w:r>
      <w:r>
        <w:rPr>
          <w:rFonts w:hint="eastAsia" w:ascii="仿宋" w:hAnsi="仿宋" w:eastAsia="仿宋" w:cs="仿宋"/>
          <w:color w:val="auto"/>
          <w:sz w:val="30"/>
          <w:szCs w:val="30"/>
          <w:shd w:val="clear" w:color="auto" w:fill="auto"/>
          <w:lang w:val="en-US" w:eastAsia="zh-CN"/>
        </w:rPr>
        <w:t>用地</w:t>
      </w:r>
      <w:r>
        <w:rPr>
          <w:rFonts w:hint="eastAsia" w:ascii="仿宋" w:hAnsi="仿宋" w:eastAsia="仿宋" w:cs="仿宋"/>
          <w:color w:val="auto"/>
          <w:sz w:val="30"/>
          <w:szCs w:val="30"/>
          <w:shd w:val="clear" w:color="auto" w:fill="auto"/>
        </w:rPr>
        <w:t>性质的容积率</w:t>
      </w:r>
      <w:r>
        <w:rPr>
          <w:rFonts w:hint="eastAsia" w:ascii="仿宋" w:hAnsi="仿宋" w:eastAsia="仿宋" w:cs="仿宋"/>
          <w:color w:val="auto"/>
          <w:sz w:val="30"/>
          <w:szCs w:val="30"/>
          <w:shd w:val="clear" w:color="auto" w:fill="auto"/>
        </w:rPr>
        <w:t>指标可进行整体平衡，混合用地进行整体平衡时可将其中一类的容量整体转移。整体平衡时，计入容积率的建筑总面积 （不同性质用地分别计算）、绿地总面积、建筑基底总面积应符合出让合同要求。整体平衡项目的总平面图应整体一次性审批。</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对城市中建筑高度、容量有特殊要求的区域， 如机场净空、微波通道、危险品仓库等，应结合专业要求确定地块建设容量控制指标。</w:t>
      </w:r>
      <w:r>
        <w:rPr>
          <w:rFonts w:hint="eastAsia" w:ascii="仿宋" w:hAnsi="仿宋" w:eastAsia="仿宋" w:cs="仿宋"/>
          <w:color w:val="auto"/>
          <w:kern w:val="0"/>
          <w:sz w:val="30"/>
          <w:szCs w:val="30"/>
          <w:shd w:val="clear" w:color="auto" w:fill="auto"/>
          <w:lang w:val="en-US" w:eastAsia="zh-CN" w:bidi="ar"/>
        </w:rPr>
        <w:t>军事禁区周边的建设活动应符合有关政策和军队规定，并根据相关规定征求军事管理部门的意见</w:t>
      </w:r>
      <w:r>
        <w:rPr>
          <w:rFonts w:hint="eastAsia" w:ascii="仿宋" w:hAnsi="仿宋" w:eastAsia="仿宋" w:cs="仿宋"/>
          <w:color w:val="auto"/>
          <w:sz w:val="30"/>
          <w:szCs w:val="30"/>
          <w:shd w:val="clear" w:color="auto" w:fill="auto"/>
        </w:rPr>
        <w:t>。</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对城市中公共服务设施、市政基础设施配置不足，且确实无法解决的区域，应降低容积率以满足地区基本配套要求。</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rPr>
        <w:t>对未列入上表的科研机构、大中专院校、中小学校、体育场馆、医疗卫生、文化艺术、托幼等</w:t>
      </w:r>
      <w:r>
        <w:rPr>
          <w:rFonts w:hint="eastAsia" w:ascii="仿宋" w:hAnsi="仿宋" w:eastAsia="仿宋" w:cs="仿宋"/>
          <w:color w:val="auto"/>
          <w:sz w:val="30"/>
          <w:szCs w:val="30"/>
          <w:shd w:val="clear" w:color="auto" w:fill="auto"/>
          <w:lang w:val="en-US" w:eastAsia="zh-CN"/>
        </w:rPr>
        <w:t>公共</w:t>
      </w:r>
      <w:r>
        <w:rPr>
          <w:rFonts w:hint="eastAsia" w:ascii="仿宋" w:hAnsi="仿宋" w:eastAsia="仿宋" w:cs="仿宋"/>
          <w:color w:val="auto"/>
          <w:sz w:val="30"/>
          <w:szCs w:val="30"/>
          <w:shd w:val="clear" w:color="auto" w:fill="auto"/>
        </w:rPr>
        <w:t>设施的建筑容量控制指标，应按有关专业技术规定、规范执行，但不得大于控制指标表中居住用地的控制指</w:t>
      </w:r>
      <w:r>
        <w:rPr>
          <w:rFonts w:hint="eastAsia" w:ascii="仿宋" w:hAnsi="仿宋" w:eastAsia="仿宋" w:cs="仿宋"/>
          <w:color w:val="auto"/>
          <w:sz w:val="30"/>
          <w:szCs w:val="30"/>
          <w:shd w:val="clear" w:color="auto" w:fill="auto"/>
          <w:lang w:val="en-US" w:eastAsia="zh-CN"/>
        </w:rPr>
        <w:t>标。</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28"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原有建筑的建筑容量控制指标已超出或达到本规定要求的，不得在原有建筑用地范围内扩建、加层。</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28"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各类建设用地内，为社会公众提供公共开放空间的，经自然资源主管部门核准和所在社区认可，可按下表规定增加建筑面积，但增加的建筑面积总计不得超过核定总建筑面积的20%。</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28" w:leftChars="0" w:right="0" w:rightChars="0"/>
        <w:jc w:val="center"/>
        <w:textAlignment w:val="auto"/>
        <w:rPr>
          <w:rFonts w:ascii="仿宋_GB2312" w:hAnsi="仿宋_GB2312" w:eastAsia="仿宋_GB2312" w:cs="仿宋_GB2312"/>
          <w:b/>
          <w:color w:val="auto"/>
          <w:sz w:val="30"/>
          <w:szCs w:val="30"/>
          <w:shd w:val="clear" w:color="auto" w:fill="auto"/>
        </w:rPr>
      </w:pPr>
      <w:r>
        <w:rPr>
          <w:rFonts w:hint="eastAsia" w:ascii="仿宋" w:hAnsi="仿宋" w:eastAsia="仿宋" w:cs="仿宋"/>
          <w:b/>
          <w:color w:val="auto"/>
          <w:sz w:val="28"/>
          <w:szCs w:val="28"/>
          <w:shd w:val="clear" w:color="auto" w:fill="auto"/>
        </w:rPr>
        <w:t>表2.</w:t>
      </w:r>
      <w:r>
        <w:rPr>
          <w:rFonts w:hint="eastAsia" w:ascii="仿宋" w:hAnsi="仿宋" w:eastAsia="仿宋" w:cs="仿宋"/>
          <w:b/>
          <w:color w:val="auto"/>
          <w:sz w:val="28"/>
          <w:szCs w:val="28"/>
          <w:shd w:val="clear" w:color="auto" w:fill="auto"/>
          <w:lang w:val="en-US" w:eastAsia="zh-CN"/>
        </w:rPr>
        <w:t>5</w:t>
      </w:r>
      <w:r>
        <w:rPr>
          <w:rFonts w:hint="eastAsia" w:ascii="仿宋" w:hAnsi="仿宋" w:eastAsia="仿宋" w:cs="仿宋"/>
          <w:b/>
          <w:color w:val="auto"/>
          <w:sz w:val="28"/>
          <w:szCs w:val="28"/>
          <w:shd w:val="clear" w:color="auto" w:fill="auto"/>
        </w:rPr>
        <w:t xml:space="preserve">  各</w:t>
      </w:r>
      <w:r>
        <w:rPr>
          <w:rFonts w:hint="eastAsia" w:ascii="仿宋" w:hAnsi="仿宋" w:eastAsia="仿宋" w:cs="仿宋"/>
          <w:b/>
          <w:color w:val="auto"/>
          <w:sz w:val="28"/>
          <w:szCs w:val="28"/>
          <w:shd w:val="clear" w:color="auto" w:fill="auto"/>
          <w:lang w:val="en-US" w:eastAsia="zh-CN"/>
        </w:rPr>
        <w:t>建设用地建筑</w:t>
      </w:r>
      <w:r>
        <w:rPr>
          <w:rFonts w:hint="eastAsia" w:ascii="仿宋" w:hAnsi="仿宋" w:eastAsia="仿宋" w:cs="仿宋"/>
          <w:b/>
          <w:color w:val="auto"/>
          <w:sz w:val="28"/>
          <w:szCs w:val="28"/>
          <w:shd w:val="clear" w:color="auto" w:fill="auto"/>
        </w:rPr>
        <w:t>面积</w:t>
      </w:r>
      <w:r>
        <w:rPr>
          <w:rFonts w:hint="eastAsia" w:ascii="仿宋" w:hAnsi="仿宋" w:eastAsia="仿宋" w:cs="仿宋"/>
          <w:b/>
          <w:color w:val="auto"/>
          <w:sz w:val="28"/>
          <w:szCs w:val="28"/>
          <w:shd w:val="clear" w:color="auto" w:fill="auto"/>
          <w:lang w:val="en-US" w:eastAsia="zh-CN"/>
        </w:rPr>
        <w:t>增加规定</w:t>
      </w:r>
      <w:r>
        <w:rPr>
          <w:rFonts w:hint="eastAsia" w:ascii="仿宋" w:hAnsi="仿宋" w:eastAsia="仿宋" w:cs="仿宋"/>
          <w:b/>
          <w:color w:val="auto"/>
          <w:sz w:val="28"/>
          <w:szCs w:val="28"/>
          <w:shd w:val="clear" w:color="auto" w:fill="auto"/>
        </w:rPr>
        <w:t>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3213"/>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gridSpan w:val="2"/>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核定建筑容积率</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每提供1</w:t>
            </w:r>
            <w:r>
              <w:rPr>
                <w:rFonts w:hint="eastAsia" w:ascii="仿宋" w:hAnsi="仿宋" w:eastAsia="仿宋" w:cs="仿宋"/>
                <w:color w:val="auto"/>
                <w:w w:val="105"/>
                <w:sz w:val="24"/>
                <w:szCs w:val="24"/>
                <w:shd w:val="clear" w:color="auto" w:fill="auto"/>
              </w:rPr>
              <w:t>m</w:t>
            </w:r>
            <w:r>
              <w:rPr>
                <w:rFonts w:hint="eastAsia" w:ascii="仿宋" w:hAnsi="仿宋" w:eastAsia="仿宋" w:cs="仿宋"/>
                <w:color w:val="auto"/>
                <w:kern w:val="0"/>
                <w:sz w:val="24"/>
                <w:szCs w:val="24"/>
                <w:shd w:val="clear" w:color="auto" w:fill="auto"/>
                <w:vertAlign w:val="superscript"/>
                <w:lang w:val="en-US" w:bidi="ar-SA"/>
              </w:rPr>
              <w:t>2</w:t>
            </w:r>
            <w:r>
              <w:rPr>
                <w:rFonts w:hint="eastAsia" w:ascii="仿宋" w:hAnsi="仿宋" w:eastAsia="仿宋" w:cs="仿宋"/>
                <w:b/>
                <w:bCs/>
                <w:color w:val="auto"/>
                <w:w w:val="105"/>
                <w:sz w:val="24"/>
                <w:szCs w:val="24"/>
                <w:shd w:val="clear" w:color="auto" w:fill="auto"/>
                <w:lang w:val="en-US" w:eastAsia="zh-CN"/>
              </w:rPr>
              <w:t>有效面积的开放空间，允许增加的建筑面积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1</w:t>
            </w:r>
          </w:p>
        </w:tc>
        <w:tc>
          <w:tcPr>
            <w:tcW w:w="17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lang w:val="en-US" w:eastAsia="zh-CN"/>
              </w:rPr>
              <w:t>FAR</w:t>
            </w:r>
            <w:r>
              <w:rPr>
                <w:rFonts w:hint="eastAsia" w:ascii="仿宋" w:hAnsi="仿宋" w:eastAsia="仿宋" w:cs="仿宋"/>
                <w:color w:val="auto"/>
                <w:w w:val="105"/>
                <w:sz w:val="24"/>
                <w:szCs w:val="24"/>
                <w:shd w:val="clear" w:color="auto" w:fill="auto"/>
              </w:rPr>
              <w:t>≤2</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2</w:t>
            </w:r>
          </w:p>
        </w:tc>
        <w:tc>
          <w:tcPr>
            <w:tcW w:w="17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2</w:t>
            </w:r>
            <w:r>
              <w:rPr>
                <w:rFonts w:hint="eastAsia" w:ascii="仿宋" w:hAnsi="仿宋" w:eastAsia="仿宋" w:cs="仿宋"/>
                <w:color w:val="auto"/>
                <w:w w:val="105"/>
                <w:sz w:val="24"/>
                <w:szCs w:val="24"/>
                <w:shd w:val="clear" w:color="auto" w:fill="auto"/>
              </w:rPr>
              <w:t>≤</w:t>
            </w:r>
            <w:r>
              <w:rPr>
                <w:rFonts w:hint="eastAsia" w:ascii="仿宋" w:hAnsi="仿宋" w:eastAsia="仿宋" w:cs="仿宋"/>
                <w:color w:val="auto"/>
                <w:w w:val="105"/>
                <w:sz w:val="24"/>
                <w:szCs w:val="24"/>
                <w:shd w:val="clear" w:color="auto" w:fill="auto"/>
                <w:lang w:val="en-US" w:eastAsia="zh-CN"/>
              </w:rPr>
              <w:t>FAR</w:t>
            </w:r>
            <w:r>
              <w:rPr>
                <w:rFonts w:hint="eastAsia" w:ascii="仿宋" w:hAnsi="仿宋" w:eastAsia="仿宋" w:cs="仿宋"/>
                <w:color w:val="auto"/>
                <w:w w:val="105"/>
                <w:sz w:val="24"/>
                <w:szCs w:val="24"/>
                <w:shd w:val="clear" w:color="auto" w:fill="auto"/>
              </w:rPr>
              <w:t>＜</w:t>
            </w:r>
            <w:r>
              <w:rPr>
                <w:rFonts w:hint="eastAsia" w:ascii="仿宋" w:hAnsi="仿宋" w:eastAsia="仿宋" w:cs="仿宋"/>
                <w:color w:val="auto"/>
                <w:w w:val="105"/>
                <w:sz w:val="24"/>
                <w:szCs w:val="24"/>
                <w:shd w:val="clear" w:color="auto" w:fill="auto"/>
                <w:lang w:val="en-US" w:eastAsia="zh-CN"/>
              </w:rPr>
              <w:t>4</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3</w:t>
            </w:r>
          </w:p>
        </w:tc>
        <w:tc>
          <w:tcPr>
            <w:tcW w:w="17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lang w:val="en-US" w:eastAsia="zh-CN"/>
              </w:rPr>
              <w:t>4</w:t>
            </w:r>
            <w:r>
              <w:rPr>
                <w:rFonts w:hint="eastAsia" w:ascii="仿宋" w:hAnsi="仿宋" w:eastAsia="仿宋" w:cs="仿宋"/>
                <w:color w:val="auto"/>
                <w:w w:val="105"/>
                <w:sz w:val="24"/>
                <w:szCs w:val="24"/>
                <w:shd w:val="clear" w:color="auto" w:fill="auto"/>
              </w:rPr>
              <w:t>≤</w:t>
            </w:r>
            <w:r>
              <w:rPr>
                <w:rFonts w:hint="eastAsia" w:ascii="仿宋" w:hAnsi="仿宋" w:eastAsia="仿宋" w:cs="仿宋"/>
                <w:color w:val="auto"/>
                <w:w w:val="105"/>
                <w:sz w:val="24"/>
                <w:szCs w:val="24"/>
                <w:shd w:val="clear" w:color="auto" w:fill="auto"/>
                <w:lang w:val="en-US" w:eastAsia="zh-CN"/>
              </w:rPr>
              <w:t>FAR</w:t>
            </w:r>
            <w:r>
              <w:rPr>
                <w:rFonts w:hint="eastAsia" w:ascii="仿宋" w:hAnsi="仿宋" w:eastAsia="仿宋" w:cs="仿宋"/>
                <w:color w:val="auto"/>
                <w:w w:val="105"/>
                <w:sz w:val="24"/>
                <w:szCs w:val="24"/>
                <w:shd w:val="clear" w:color="auto" w:fill="auto"/>
              </w:rPr>
              <w:t>＜</w:t>
            </w:r>
            <w:r>
              <w:rPr>
                <w:rFonts w:hint="eastAsia" w:ascii="仿宋" w:hAnsi="仿宋" w:eastAsia="仿宋" w:cs="仿宋"/>
                <w:color w:val="auto"/>
                <w:w w:val="105"/>
                <w:sz w:val="24"/>
                <w:szCs w:val="24"/>
                <w:shd w:val="clear" w:color="auto" w:fill="auto"/>
                <w:lang w:val="en-US" w:eastAsia="zh-CN"/>
              </w:rPr>
              <w:t>6</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lang w:val="en-US" w:eastAsia="zh-CN"/>
              </w:rPr>
              <w:t>4.0</w:t>
            </w:r>
          </w:p>
        </w:tc>
      </w:tr>
    </w:tbl>
    <w:p>
      <w:pPr>
        <w:spacing w:line="560" w:lineRule="exact"/>
        <w:ind w:firstLine="600" w:firstLineChars="200"/>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公共开放空间是指在建筑用地内，为社会公众提供的广场、绿地、通道、停车场（库）等公共使用的室内外空间（包括平地、下沉式广场和屋顶平台）。开放空间必须同时符合下列条件：</w:t>
      </w:r>
    </w:p>
    <w:p>
      <w:pPr>
        <w:spacing w:line="560" w:lineRule="exact"/>
        <w:ind w:firstLine="600" w:firstLineChars="200"/>
        <w:rPr>
          <w:rFonts w:hint="default"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1、沿城市道路、广场留设、至少两面对外全开敞；</w:t>
      </w:r>
    </w:p>
    <w:p>
      <w:pPr>
        <w:spacing w:line="560" w:lineRule="exact"/>
        <w:ind w:firstLine="600" w:firstLineChars="200"/>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2、任一方向的净宽度在6米以上，净高不低于8 米实际使用面积不小于150平方米；</w:t>
      </w:r>
    </w:p>
    <w:p>
      <w:pPr>
        <w:spacing w:line="560" w:lineRule="exact"/>
        <w:ind w:firstLine="600" w:firstLineChars="200"/>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3、以净宽1.5米以上的开放性楼梯或坡道连接地面或道路，且与地面或道路的高差在±5.0米以内（含±5.0米）;</w:t>
      </w:r>
    </w:p>
    <w:p>
      <w:pPr>
        <w:spacing w:line="560" w:lineRule="exact"/>
        <w:ind w:firstLine="600" w:firstLineChars="200"/>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4、向公众开放绿地、广场的应设置座椅等休息设施；</w:t>
      </w:r>
    </w:p>
    <w:p>
      <w:pPr>
        <w:spacing w:line="560" w:lineRule="exact"/>
        <w:ind w:firstLine="600" w:firstLineChars="200"/>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5、建设竣工后，应设置相应的标志，并交有关部门管理或经批准由建设单位代管；</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6、常年开放，且不改变使用性质。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7、公共开放空间上部设置覆土厚度满足相关规定的绿地计入绿地率，不计入建筑密度。</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firstLine="600" w:firstLineChars="200"/>
        <w:jc w:val="both"/>
        <w:textAlignment w:val="auto"/>
        <w:rPr>
          <w:rFonts w:hint="eastAsia" w:ascii="仿宋" w:hAnsi="仿宋" w:eastAsia="仿宋" w:cs="仿宋"/>
          <w:b/>
          <w:bCs/>
          <w:color w:val="auto"/>
          <w:kern w:val="2"/>
          <w:sz w:val="30"/>
          <w:szCs w:val="30"/>
          <w:u w:val="single"/>
          <w:shd w:val="clear" w:color="auto" w:fill="auto"/>
        </w:rPr>
      </w:pPr>
      <w:r>
        <w:rPr>
          <w:rFonts w:hint="eastAsia" w:ascii="仿宋" w:hAnsi="仿宋" w:eastAsia="仿宋" w:cs="仿宋"/>
          <w:color w:val="auto"/>
          <w:sz w:val="30"/>
          <w:szCs w:val="30"/>
          <w:shd w:val="clear" w:color="auto" w:fill="auto"/>
        </w:rPr>
        <w:t>建筑高度控制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湘西州州府（吉首市）新增住宅建筑高度控制原则上不超过80米。各县城新建住宅用地中建筑高度以6层为主，6层及以下建筑占比应不低于70%。各县城新建住宅原则上不超过</w:t>
      </w:r>
      <w:r>
        <w:rPr>
          <w:rFonts w:hint="default" w:ascii="仿宋" w:hAnsi="仿宋" w:eastAsia="仿宋" w:cs="仿宋"/>
          <w:color w:val="auto"/>
          <w:kern w:val="0"/>
          <w:sz w:val="30"/>
          <w:szCs w:val="30"/>
          <w:shd w:val="clear" w:color="auto" w:fill="auto"/>
          <w:lang w:val="en-US" w:eastAsia="zh-CN" w:bidi="ar"/>
        </w:rPr>
        <w:t>18</w:t>
      </w:r>
      <w:r>
        <w:rPr>
          <w:rFonts w:hint="eastAsia" w:ascii="仿宋" w:hAnsi="仿宋" w:eastAsia="仿宋" w:cs="仿宋"/>
          <w:color w:val="auto"/>
          <w:kern w:val="0"/>
          <w:sz w:val="30"/>
          <w:szCs w:val="30"/>
          <w:shd w:val="clear" w:color="auto" w:fill="auto"/>
          <w:lang w:val="en-US" w:eastAsia="zh-CN" w:bidi="ar"/>
        </w:rPr>
        <w:t>层、</w:t>
      </w:r>
      <w:r>
        <w:rPr>
          <w:rFonts w:hint="default" w:ascii="仿宋" w:hAnsi="仿宋" w:eastAsia="仿宋" w:cs="仿宋"/>
          <w:color w:val="auto"/>
          <w:kern w:val="0"/>
          <w:sz w:val="30"/>
          <w:szCs w:val="30"/>
          <w:shd w:val="clear" w:color="auto" w:fill="auto"/>
          <w:lang w:val="en-US" w:eastAsia="zh-CN" w:bidi="ar"/>
        </w:rPr>
        <w:t>54</w:t>
      </w:r>
      <w:r>
        <w:rPr>
          <w:rFonts w:hint="eastAsia" w:ascii="仿宋" w:hAnsi="仿宋" w:eastAsia="仿宋" w:cs="仿宋"/>
          <w:color w:val="auto"/>
          <w:kern w:val="0"/>
          <w:sz w:val="30"/>
          <w:szCs w:val="30"/>
          <w:shd w:val="clear" w:color="auto" w:fill="auto"/>
          <w:lang w:val="en-US" w:eastAsia="zh-CN" w:bidi="ar"/>
        </w:rPr>
        <w:t>米。</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湘西州州府（吉首市）新建</w:t>
      </w:r>
      <w:r>
        <w:rPr>
          <w:rFonts w:hint="default" w:ascii="仿宋" w:hAnsi="仿宋" w:eastAsia="仿宋" w:cs="仿宋"/>
          <w:color w:val="auto"/>
          <w:kern w:val="0"/>
          <w:sz w:val="30"/>
          <w:szCs w:val="30"/>
          <w:shd w:val="clear" w:color="auto" w:fill="auto"/>
          <w:lang w:val="en-US" w:eastAsia="zh-CN" w:bidi="ar"/>
        </w:rPr>
        <w:t>80</w:t>
      </w:r>
      <w:r>
        <w:rPr>
          <w:rFonts w:hint="eastAsia" w:ascii="仿宋" w:hAnsi="仿宋" w:eastAsia="仿宋" w:cs="仿宋"/>
          <w:color w:val="auto"/>
          <w:kern w:val="0"/>
          <w:sz w:val="30"/>
          <w:szCs w:val="30"/>
          <w:shd w:val="clear" w:color="auto" w:fill="auto"/>
          <w:lang w:val="en-US" w:eastAsia="zh-CN" w:bidi="ar"/>
        </w:rPr>
        <w:t>米以上住宅建筑和</w:t>
      </w:r>
      <w:r>
        <w:rPr>
          <w:rFonts w:hint="default" w:ascii="仿宋" w:hAnsi="仿宋" w:eastAsia="仿宋" w:cs="仿宋"/>
          <w:color w:val="auto"/>
          <w:kern w:val="0"/>
          <w:sz w:val="30"/>
          <w:szCs w:val="30"/>
          <w:shd w:val="clear" w:color="auto" w:fill="auto"/>
          <w:lang w:val="en-US" w:eastAsia="zh-CN" w:bidi="ar"/>
        </w:rPr>
        <w:t>100</w:t>
      </w:r>
      <w:r>
        <w:rPr>
          <w:rFonts w:hint="eastAsia" w:ascii="仿宋" w:hAnsi="仿宋" w:eastAsia="仿宋" w:cs="仿宋"/>
          <w:color w:val="auto"/>
          <w:kern w:val="0"/>
          <w:sz w:val="30"/>
          <w:szCs w:val="30"/>
          <w:shd w:val="clear" w:color="auto" w:fill="auto"/>
          <w:lang w:val="en-US" w:eastAsia="zh-CN" w:bidi="ar"/>
        </w:rPr>
        <w:t>米以上公共建筑，各县城新建</w:t>
      </w:r>
      <w:r>
        <w:rPr>
          <w:rFonts w:hint="default" w:ascii="仿宋" w:hAnsi="仿宋" w:eastAsia="仿宋" w:cs="仿宋"/>
          <w:color w:val="auto"/>
          <w:kern w:val="0"/>
          <w:sz w:val="30"/>
          <w:szCs w:val="30"/>
          <w:shd w:val="clear" w:color="auto" w:fill="auto"/>
          <w:lang w:val="en-US" w:eastAsia="zh-CN" w:bidi="ar"/>
        </w:rPr>
        <w:t>18</w:t>
      </w:r>
      <w:r>
        <w:rPr>
          <w:rFonts w:hint="eastAsia" w:ascii="仿宋" w:hAnsi="仿宋" w:eastAsia="仿宋" w:cs="仿宋"/>
          <w:color w:val="auto"/>
          <w:kern w:val="0"/>
          <w:sz w:val="30"/>
          <w:szCs w:val="30"/>
          <w:shd w:val="clear" w:color="auto" w:fill="auto"/>
          <w:lang w:val="en-US" w:eastAsia="zh-CN" w:bidi="ar"/>
        </w:rPr>
        <w:t>层、</w:t>
      </w:r>
      <w:r>
        <w:rPr>
          <w:rFonts w:hint="default" w:ascii="仿宋" w:hAnsi="仿宋" w:eastAsia="仿宋" w:cs="仿宋"/>
          <w:color w:val="auto"/>
          <w:kern w:val="0"/>
          <w:sz w:val="30"/>
          <w:szCs w:val="30"/>
          <w:shd w:val="clear" w:color="auto" w:fill="auto"/>
          <w:lang w:val="en-US" w:eastAsia="zh-CN" w:bidi="ar"/>
        </w:rPr>
        <w:t>54</w:t>
      </w:r>
      <w:r>
        <w:rPr>
          <w:rFonts w:hint="eastAsia" w:ascii="仿宋" w:hAnsi="仿宋" w:eastAsia="仿宋" w:cs="仿宋"/>
          <w:color w:val="auto"/>
          <w:kern w:val="0"/>
          <w:sz w:val="30"/>
          <w:szCs w:val="30"/>
          <w:shd w:val="clear" w:color="auto" w:fill="auto"/>
          <w:lang w:val="en-US" w:eastAsia="zh-CN" w:bidi="ar"/>
        </w:rPr>
        <w:t>米以上居住建筑，应充分论证、集中布局，要与城市规模、空间尺度相适宜，与消防救援能力相匹配，并应书面征求同级消防救援机构意见。</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湘西州各级自然资源主管部门应在国土空间规划编制、土地出让规划条件出具等规划许可环节加强对新建建筑高度审核。</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default" w:eastAsia="黑体"/>
          <w:b w:val="0"/>
          <w:bCs/>
          <w:color w:val="auto"/>
          <w:shd w:val="clear" w:color="auto" w:fill="auto"/>
          <w:lang w:val="en-US" w:eastAsia="zh-CN"/>
        </w:rPr>
      </w:pPr>
      <w:bookmarkStart w:id="9" w:name="_Toc16118"/>
      <w:bookmarkStart w:id="10" w:name="_Toc2962"/>
      <w:r>
        <w:rPr>
          <w:rFonts w:hint="eastAsia"/>
          <w:b w:val="0"/>
          <w:bCs/>
          <w:color w:val="auto"/>
          <w:shd w:val="clear" w:color="auto" w:fill="auto"/>
        </w:rPr>
        <w:t>第</w:t>
      </w:r>
      <w:r>
        <w:rPr>
          <w:rFonts w:hint="eastAsia"/>
          <w:b w:val="0"/>
          <w:bCs/>
          <w:color w:val="auto"/>
          <w:shd w:val="clear" w:color="auto" w:fill="auto"/>
          <w:lang w:val="en-US" w:eastAsia="zh-CN"/>
        </w:rPr>
        <w:t>三</w:t>
      </w:r>
      <w:r>
        <w:rPr>
          <w:rFonts w:hint="eastAsia"/>
          <w:b w:val="0"/>
          <w:bCs/>
          <w:color w:val="auto"/>
          <w:shd w:val="clear" w:color="auto" w:fill="auto"/>
        </w:rPr>
        <w:t xml:space="preserve">节  </w:t>
      </w:r>
      <w:r>
        <w:rPr>
          <w:rFonts w:hint="eastAsia"/>
          <w:b w:val="0"/>
          <w:bCs/>
          <w:color w:val="auto"/>
          <w:shd w:val="clear" w:color="auto" w:fill="auto"/>
          <w:lang w:val="en-US" w:eastAsia="zh-CN"/>
        </w:rPr>
        <w:t>建筑基地控制</w:t>
      </w:r>
      <w:bookmarkEnd w:id="9"/>
      <w:bookmarkEnd w:id="10"/>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28" w:firstLine="600" w:firstLineChars="200"/>
        <w:jc w:val="both"/>
        <w:textAlignment w:val="auto"/>
        <w:rPr>
          <w:rFonts w:ascii="仿宋_GB2312" w:hAnsi="仿宋_GB2312" w:eastAsia="仿宋_GB2312" w:cs="仿宋_GB2312"/>
          <w:b/>
          <w:color w:val="auto"/>
          <w:sz w:val="30"/>
          <w:szCs w:val="30"/>
          <w:shd w:val="clear" w:color="auto" w:fill="auto"/>
        </w:rPr>
      </w:pPr>
      <w:r>
        <w:rPr>
          <w:rFonts w:hint="eastAsia" w:ascii="仿宋" w:hAnsi="仿宋" w:eastAsia="仿宋" w:cs="仿宋"/>
          <w:color w:val="auto"/>
          <w:sz w:val="30"/>
          <w:szCs w:val="30"/>
          <w:shd w:val="clear" w:color="auto" w:fill="auto"/>
          <w:lang w:eastAsia="zh-CN"/>
        </w:rPr>
        <w:t>湘西自治州</w:t>
      </w:r>
      <w:r>
        <w:rPr>
          <w:rFonts w:hint="eastAsia" w:ascii="仿宋" w:hAnsi="仿宋" w:eastAsia="仿宋" w:cs="仿宋"/>
          <w:color w:val="auto"/>
          <w:sz w:val="30"/>
          <w:szCs w:val="30"/>
          <w:shd w:val="clear" w:color="auto" w:fill="auto"/>
        </w:rPr>
        <w:t>城市除基础设施和公共服务设施外，建设项目的建筑基地用地面积必须满足建设项目独立建设的最小用地规模要求。建设用地未达到下列规定面积的，不得单独规划建设。</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28" w:leftChars="0" w:right="0" w:rightChars="0"/>
        <w:jc w:val="center"/>
        <w:textAlignment w:val="auto"/>
        <w:rPr>
          <w:rFonts w:ascii="仿宋_GB2312" w:hAnsi="仿宋_GB2312" w:eastAsia="仿宋_GB2312" w:cs="仿宋_GB2312"/>
          <w:b/>
          <w:color w:val="auto"/>
          <w:sz w:val="30"/>
          <w:szCs w:val="30"/>
          <w:shd w:val="clear" w:color="auto" w:fill="auto"/>
        </w:rPr>
      </w:pPr>
      <w:r>
        <w:rPr>
          <w:rFonts w:hint="eastAsia" w:ascii="仿宋" w:hAnsi="仿宋" w:eastAsia="仿宋" w:cs="仿宋"/>
          <w:b/>
          <w:color w:val="auto"/>
          <w:sz w:val="28"/>
          <w:szCs w:val="28"/>
          <w:shd w:val="clear" w:color="auto" w:fill="auto"/>
        </w:rPr>
        <w:t>表2.</w:t>
      </w:r>
      <w:r>
        <w:rPr>
          <w:rFonts w:hint="eastAsia" w:ascii="仿宋" w:hAnsi="仿宋" w:eastAsia="仿宋" w:cs="仿宋"/>
          <w:b/>
          <w:color w:val="auto"/>
          <w:sz w:val="28"/>
          <w:szCs w:val="28"/>
          <w:shd w:val="clear" w:color="auto" w:fill="auto"/>
          <w:lang w:val="en-US" w:eastAsia="zh-CN"/>
        </w:rPr>
        <w:t>6</w:t>
      </w:r>
      <w:r>
        <w:rPr>
          <w:rFonts w:hint="eastAsia" w:ascii="仿宋" w:hAnsi="仿宋" w:eastAsia="仿宋" w:cs="仿宋"/>
          <w:b/>
          <w:color w:val="auto"/>
          <w:sz w:val="28"/>
          <w:szCs w:val="28"/>
          <w:shd w:val="clear" w:color="auto" w:fill="auto"/>
        </w:rPr>
        <w:t xml:space="preserve">  各建筑基地最小用地面积控制表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3200"/>
        <w:gridCol w:w="2328"/>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rPr>
            </w:pPr>
            <w:r>
              <w:rPr>
                <w:rFonts w:hint="eastAsia" w:ascii="仿宋" w:hAnsi="仿宋" w:eastAsia="仿宋" w:cs="仿宋"/>
                <w:b/>
                <w:bCs/>
                <w:color w:val="auto"/>
                <w:w w:val="105"/>
                <w:sz w:val="24"/>
                <w:szCs w:val="24"/>
                <w:shd w:val="clear" w:color="auto" w:fill="auto"/>
              </w:rPr>
              <w:t>序号</w:t>
            </w:r>
          </w:p>
        </w:tc>
        <w:tc>
          <w:tcPr>
            <w:tcW w:w="1718"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rPr>
            </w:pPr>
            <w:r>
              <w:rPr>
                <w:rFonts w:hint="eastAsia" w:ascii="仿宋" w:hAnsi="仿宋" w:eastAsia="仿宋" w:cs="仿宋"/>
                <w:b/>
                <w:bCs/>
                <w:color w:val="auto"/>
                <w:w w:val="105"/>
                <w:sz w:val="24"/>
                <w:szCs w:val="24"/>
                <w:shd w:val="clear" w:color="auto" w:fill="auto"/>
              </w:rPr>
              <w:t>项目内容</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rPr>
              <w:t>建筑高度</w:t>
            </w:r>
            <w:r>
              <w:rPr>
                <w:rFonts w:hint="eastAsia" w:ascii="仿宋" w:hAnsi="仿宋" w:eastAsia="仿宋" w:cs="仿宋"/>
                <w:b/>
                <w:bCs/>
                <w:color w:val="auto"/>
                <w:w w:val="105"/>
                <w:sz w:val="24"/>
                <w:szCs w:val="24"/>
                <w:shd w:val="clear" w:color="auto" w:fill="auto"/>
                <w:lang w:eastAsia="zh-CN"/>
              </w:rPr>
              <w:t>（</w:t>
            </w:r>
            <w:r>
              <w:rPr>
                <w:rFonts w:hint="eastAsia" w:ascii="仿宋" w:hAnsi="仿宋" w:eastAsia="仿宋" w:cs="仿宋"/>
                <w:b/>
                <w:bCs/>
                <w:color w:val="auto"/>
                <w:w w:val="105"/>
                <w:sz w:val="24"/>
                <w:szCs w:val="24"/>
                <w:shd w:val="clear" w:color="auto" w:fill="auto"/>
                <w:lang w:val="en-US" w:eastAsia="zh-CN"/>
              </w:rPr>
              <w:t>m</w:t>
            </w:r>
            <w:r>
              <w:rPr>
                <w:rFonts w:hint="eastAsia" w:ascii="仿宋" w:hAnsi="仿宋" w:eastAsia="仿宋" w:cs="仿宋"/>
                <w:b/>
                <w:bCs/>
                <w:color w:val="auto"/>
                <w:w w:val="105"/>
                <w:sz w:val="24"/>
                <w:szCs w:val="24"/>
                <w:shd w:val="clear" w:color="auto" w:fill="auto"/>
                <w:lang w:eastAsia="zh-CN"/>
              </w:rPr>
              <w:t>）</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ascii="仿宋" w:hAnsi="仿宋" w:eastAsia="仿宋" w:cs="仿宋"/>
                <w:b/>
                <w:bCs/>
                <w:color w:val="auto"/>
                <w:w w:val="105"/>
                <w:sz w:val="24"/>
                <w:szCs w:val="24"/>
                <w:shd w:val="clear" w:color="auto" w:fill="auto"/>
                <w:vertAlign w:val="baseline"/>
                <w:lang w:val="en-US" w:eastAsia="zh-CN"/>
              </w:rPr>
            </w:pPr>
            <w:r>
              <w:rPr>
                <w:rFonts w:hint="eastAsia" w:ascii="仿宋" w:hAnsi="仿宋" w:eastAsia="仿宋" w:cs="仿宋"/>
                <w:b/>
                <w:bCs/>
                <w:color w:val="auto"/>
                <w:w w:val="105"/>
                <w:sz w:val="24"/>
                <w:szCs w:val="24"/>
                <w:shd w:val="clear" w:color="auto" w:fill="auto"/>
              </w:rPr>
              <w:t>最小用地面积</w:t>
            </w:r>
            <w:r>
              <w:rPr>
                <w:rFonts w:hint="eastAsia" w:ascii="仿宋" w:hAnsi="仿宋" w:eastAsia="仿宋" w:cs="仿宋"/>
                <w:b/>
                <w:bCs/>
                <w:color w:val="auto"/>
                <w:w w:val="105"/>
                <w:sz w:val="24"/>
                <w:szCs w:val="24"/>
                <w:shd w:val="clear" w:color="auto" w:fill="auto"/>
                <w:lang w:val="en-US" w:eastAsia="zh-CN"/>
              </w:rPr>
              <w:t>(</w:t>
            </w:r>
            <w:r>
              <w:rPr>
                <w:rFonts w:hint="eastAsia" w:ascii="仿宋" w:hAnsi="仿宋" w:eastAsia="仿宋" w:cs="仿宋"/>
                <w:color w:val="auto"/>
                <w:w w:val="105"/>
                <w:sz w:val="24"/>
                <w:szCs w:val="24"/>
                <w:shd w:val="clear" w:color="auto" w:fill="auto"/>
              </w:rPr>
              <w:t>m</w:t>
            </w:r>
            <w:r>
              <w:rPr>
                <w:rFonts w:hint="eastAsia" w:ascii="仿宋" w:hAnsi="仿宋" w:eastAsia="仿宋" w:cs="仿宋"/>
                <w:color w:val="auto"/>
                <w:kern w:val="0"/>
                <w:sz w:val="24"/>
                <w:szCs w:val="24"/>
                <w:shd w:val="clear" w:color="auto" w:fill="auto"/>
                <w:vertAlign w:val="superscript"/>
                <w:lang w:val="en-US" w:bidi="ar-SA"/>
              </w:rPr>
              <w:t>2</w:t>
            </w:r>
            <w:r>
              <w:rPr>
                <w:rFonts w:hint="eastAsia" w:ascii="仿宋" w:hAnsi="仿宋" w:eastAsia="仿宋" w:cs="仿宋"/>
                <w:color w:val="auto"/>
                <w:kern w:val="0"/>
                <w:sz w:val="24"/>
                <w:szCs w:val="24"/>
                <w:shd w:val="clear" w:color="auto" w:fill="auto"/>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1</w:t>
            </w:r>
          </w:p>
        </w:tc>
        <w:tc>
          <w:tcPr>
            <w:tcW w:w="1718"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低、多层居住建筑</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H≤27</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2</w:t>
            </w:r>
          </w:p>
        </w:tc>
        <w:tc>
          <w:tcPr>
            <w:tcW w:w="1718"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高层居住建筑</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27＜H＜50</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p>
        </w:tc>
        <w:tc>
          <w:tcPr>
            <w:tcW w:w="1718"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50≤H≤80</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1"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3</w:t>
            </w:r>
          </w:p>
        </w:tc>
        <w:tc>
          <w:tcPr>
            <w:tcW w:w="1718"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低、多层公共建筑</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H≤24</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p>
        </w:tc>
        <w:tc>
          <w:tcPr>
            <w:tcW w:w="1718"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高层公共建筑</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24≤H＜50</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p>
        </w:tc>
        <w:tc>
          <w:tcPr>
            <w:tcW w:w="1718"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50≤H≤100</w:t>
            </w:r>
          </w:p>
        </w:tc>
        <w:tc>
          <w:tcPr>
            <w:tcW w:w="125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rPr>
            </w:pPr>
            <w:r>
              <w:rPr>
                <w:rFonts w:hint="eastAsia" w:ascii="仿宋" w:hAnsi="仿宋" w:eastAsia="仿宋" w:cs="仿宋"/>
                <w:color w:val="auto"/>
                <w:w w:val="105"/>
                <w:sz w:val="24"/>
                <w:szCs w:val="24"/>
                <w:shd w:val="clear" w:color="auto" w:fill="auto"/>
              </w:rPr>
              <w:t>4000</w:t>
            </w:r>
          </w:p>
        </w:tc>
      </w:tr>
    </w:tbl>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建设用地未达到前款规定最小面积但规划方案符合技术要求，且不妨碍国土空间规划实施，并有下列情况之一的，</w:t>
      </w:r>
      <w:r>
        <w:rPr>
          <w:rFonts w:hint="eastAsia" w:ascii="仿宋" w:hAnsi="仿宋" w:eastAsia="仿宋" w:cs="仿宋"/>
          <w:color w:val="auto"/>
          <w:sz w:val="30"/>
          <w:szCs w:val="30"/>
          <w:shd w:val="clear" w:color="auto" w:fill="auto"/>
          <w:lang w:val="en-US" w:eastAsia="zh-CN"/>
        </w:rPr>
        <w:t>自然资源主管部门可予核准建设：</w:t>
      </w:r>
    </w:p>
    <w:p>
      <w:pPr>
        <w:keepNext w:val="0"/>
        <w:keepLines w:val="0"/>
        <w:pageBreakBefore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1</w:t>
      </w:r>
      <w:r>
        <w:rPr>
          <w:rFonts w:hint="eastAsia" w:ascii="仿宋" w:hAnsi="仿宋" w:eastAsia="仿宋" w:cs="仿宋"/>
          <w:color w:val="auto"/>
          <w:sz w:val="30"/>
          <w:szCs w:val="30"/>
          <w:shd w:val="clear" w:color="auto" w:fill="auto"/>
          <w:lang w:eastAsia="zh-CN"/>
        </w:rPr>
        <w:t>、</w:t>
      </w:r>
      <w:r>
        <w:rPr>
          <w:rFonts w:hint="eastAsia" w:ascii="仿宋" w:hAnsi="仿宋" w:eastAsia="仿宋" w:cs="仿宋"/>
          <w:color w:val="auto"/>
          <w:sz w:val="30"/>
          <w:szCs w:val="30"/>
          <w:shd w:val="clear" w:color="auto" w:fill="auto"/>
        </w:rPr>
        <w:t>相邻土地已完成建设或为既有道路、河道等类似情况的，确实无法与周边土地进行调整、合并的建设项目；</w:t>
      </w:r>
    </w:p>
    <w:p>
      <w:pPr>
        <w:keepNext w:val="0"/>
        <w:keepLines w:val="0"/>
        <w:pageBreakBefore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2</w:t>
      </w:r>
      <w:r>
        <w:rPr>
          <w:rFonts w:hint="eastAsia" w:ascii="仿宋" w:hAnsi="仿宋" w:eastAsia="仿宋" w:cs="仿宋"/>
          <w:color w:val="auto"/>
          <w:sz w:val="30"/>
          <w:szCs w:val="30"/>
          <w:shd w:val="clear" w:color="auto" w:fill="auto"/>
          <w:lang w:eastAsia="zh-CN"/>
        </w:rPr>
        <w:t>、</w:t>
      </w:r>
      <w:r>
        <w:rPr>
          <w:rFonts w:hint="eastAsia" w:ascii="仿宋" w:hAnsi="仿宋" w:eastAsia="仿宋" w:cs="仿宋"/>
          <w:color w:val="auto"/>
          <w:sz w:val="30"/>
          <w:szCs w:val="30"/>
          <w:shd w:val="clear" w:color="auto" w:fill="auto"/>
        </w:rPr>
        <w:t>因街区划分、危房改造、市政公用设施等限制，确实无法调整合并的；</w:t>
      </w:r>
    </w:p>
    <w:p>
      <w:pPr>
        <w:keepNext w:val="0"/>
        <w:keepLines w:val="0"/>
        <w:pageBreakBefore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3</w:t>
      </w:r>
      <w:r>
        <w:rPr>
          <w:rFonts w:hint="eastAsia" w:ascii="仿宋" w:hAnsi="仿宋" w:eastAsia="仿宋" w:cs="仿宋"/>
          <w:color w:val="auto"/>
          <w:sz w:val="30"/>
          <w:szCs w:val="30"/>
          <w:shd w:val="clear" w:color="auto" w:fill="auto"/>
          <w:lang w:eastAsia="zh-CN"/>
        </w:rPr>
        <w:t>、</w:t>
      </w:r>
      <w:r>
        <w:rPr>
          <w:rFonts w:hint="eastAsia" w:ascii="仿宋" w:hAnsi="仿宋" w:eastAsia="仿宋" w:cs="仿宋"/>
          <w:color w:val="auto"/>
          <w:sz w:val="30"/>
          <w:szCs w:val="30"/>
          <w:shd w:val="clear" w:color="auto" w:fill="auto"/>
        </w:rPr>
        <w:t>社区及养老服务配套用房，垃圾收集和中转站、公厕、气调压站、变配电房、泵房、立体停车库等涉及公共服务设施的建设项目。</w:t>
      </w:r>
    </w:p>
    <w:p>
      <w:pPr>
        <w:pStyle w:val="11"/>
        <w:keepNext w:val="0"/>
        <w:keepLines w:val="0"/>
        <w:pageBreakBefore w:val="0"/>
        <w:widowControl/>
        <w:shd w:val="clear" w:color="auto" w:fill="FFFFFF"/>
        <w:tabs>
          <w:tab w:val="left" w:pos="0"/>
        </w:tabs>
        <w:kinsoku/>
        <w:wordWrap/>
        <w:overflowPunct/>
        <w:topLinePunct w:val="0"/>
        <w:autoSpaceDE/>
        <w:autoSpaceDN/>
        <w:bidi w:val="0"/>
        <w:adjustRightInd/>
        <w:snapToGrid/>
        <w:spacing w:beforeAutospacing="0" w:afterAutospacing="0" w:line="360" w:lineRule="auto"/>
        <w:ind w:firstLine="600" w:firstLineChars="200"/>
        <w:jc w:val="both"/>
        <w:textAlignment w:val="auto"/>
        <w:rPr>
          <w:rFonts w:hint="eastAsia" w:ascii="仿宋" w:hAnsi="仿宋" w:eastAsia="仿宋" w:cs="仿宋"/>
          <w:color w:val="auto"/>
          <w:sz w:val="30"/>
          <w:szCs w:val="30"/>
          <w:shd w:val="clear" w:color="auto" w:fill="auto"/>
        </w:rPr>
      </w:pPr>
    </w:p>
    <w:p>
      <w:pPr>
        <w:pStyle w:val="2"/>
        <w:pageBreakBefore w:val="0"/>
        <w:numPr>
          <w:ilvl w:val="0"/>
          <w:numId w:val="3"/>
        </w:numPr>
        <w:kinsoku/>
        <w:wordWrap/>
        <w:overflowPunct/>
        <w:topLinePunct w:val="0"/>
        <w:autoSpaceDE/>
        <w:bidi w:val="0"/>
        <w:spacing w:line="360" w:lineRule="auto"/>
        <w:ind w:firstLine="723" w:firstLineChars="200"/>
        <w:jc w:val="center"/>
        <w:rPr>
          <w:rFonts w:hint="eastAsia"/>
          <w:color w:val="auto"/>
          <w:sz w:val="36"/>
          <w:szCs w:val="36"/>
          <w:shd w:val="clear" w:color="auto" w:fill="auto"/>
          <w:lang w:val="en-US" w:eastAsia="zh-CN"/>
        </w:rPr>
      </w:pPr>
      <w:r>
        <w:rPr>
          <w:rFonts w:hint="eastAsia"/>
          <w:color w:val="auto"/>
          <w:sz w:val="36"/>
          <w:szCs w:val="36"/>
          <w:shd w:val="clear" w:color="auto" w:fill="auto"/>
          <w:lang w:val="en-US" w:eastAsia="zh-CN"/>
        </w:rPr>
        <w:t xml:space="preserve">  </w:t>
      </w:r>
      <w:bookmarkStart w:id="11" w:name="_Toc5234"/>
      <w:r>
        <w:rPr>
          <w:rFonts w:hint="eastAsia"/>
          <w:color w:val="auto"/>
          <w:sz w:val="36"/>
          <w:szCs w:val="36"/>
          <w:shd w:val="clear" w:color="auto" w:fill="auto"/>
          <w:lang w:val="en-US" w:eastAsia="zh-CN"/>
        </w:rPr>
        <w:t>建筑工程</w:t>
      </w:r>
      <w:bookmarkEnd w:id="0"/>
      <w:bookmarkEnd w:id="11"/>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12" w:name="_Toc105"/>
      <w:r>
        <w:rPr>
          <w:rFonts w:hint="eastAsia"/>
          <w:b w:val="0"/>
          <w:bCs/>
          <w:color w:val="auto"/>
          <w:shd w:val="clear" w:color="auto" w:fill="auto"/>
          <w:lang w:eastAsia="zh-CN"/>
        </w:rPr>
        <w:t>第一节</w:t>
      </w:r>
      <w:r>
        <w:rPr>
          <w:rFonts w:hint="eastAsia"/>
          <w:b w:val="0"/>
          <w:bCs/>
          <w:color w:val="auto"/>
          <w:shd w:val="clear" w:color="auto" w:fill="auto"/>
          <w:lang w:val="en-US" w:eastAsia="zh-CN"/>
        </w:rPr>
        <w:t xml:space="preserve">  建筑间距</w:t>
      </w:r>
      <w:bookmarkEnd w:id="12"/>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建筑间距应符合国家及地方规范规定中的日照、消防、卫生、环保、工程管线、建筑保护和空间环境等方面要求，并符合本规定，但与临时建筑、违法建筑、待改造地段的低层个人住宅的间距不适用本规定。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依据各县（市）的历史沿革、建设情况和城市形态等因素，本规定中的建筑间距按旧区和新区两个区域进行控制。</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b/>
          <w:bCs/>
          <w:color w:val="auto"/>
          <w:sz w:val="30"/>
          <w:szCs w:val="30"/>
          <w:shd w:val="clear" w:color="auto" w:fill="auto"/>
          <w:lang w:val="en-US" w:eastAsia="zh-CN"/>
        </w:rPr>
      </w:pPr>
      <w:r>
        <w:rPr>
          <w:rFonts w:hint="eastAsia" w:ascii="仿宋" w:hAnsi="仿宋" w:eastAsia="仿宋" w:cs="仿宋"/>
          <w:b w:val="0"/>
          <w:bCs w:val="0"/>
          <w:color w:val="auto"/>
          <w:sz w:val="30"/>
          <w:szCs w:val="30"/>
          <w:shd w:val="clear" w:color="auto" w:fill="auto"/>
          <w:lang w:val="en-US" w:eastAsia="zh-CN"/>
        </w:rPr>
        <w:t>低、多、中高层居住建筑间距</w:t>
      </w:r>
      <w:r>
        <w:rPr>
          <w:rFonts w:hint="eastAsia" w:ascii="仿宋" w:hAnsi="仿宋" w:eastAsia="仿宋" w:cs="仿宋"/>
          <w:b/>
          <w:bCs/>
          <w:color w:val="auto"/>
          <w:sz w:val="30"/>
          <w:szCs w:val="30"/>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低、多、中高层居住建筑的间距控制应当符合下列规定：</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0"/>
          <w:numId w:val="6"/>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居住建筑平行布置时，间距按表 3.1 控制： </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表3.1  居住建筑平行布置时间距表</w:t>
      </w:r>
    </w:p>
    <w:tbl>
      <w:tblPr>
        <w:tblStyle w:val="25"/>
        <w:tblW w:w="50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88"/>
        <w:gridCol w:w="2346"/>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2238" w:type="pct"/>
            <w:vAlign w:val="center"/>
            <mc:AlternateContent>
              <mc:Choice Requires="wpsCustomData">
                <wpsCustomData:diagonals>
                  <wpsCustomData:diagonal from="30000" to="8900">
                    <wpsCustomData:border w:val="single" w:color="000000" w:sz="4" w:space="0"/>
                  </wpsCustomData:diagonal>
                  <wpsCustomData:diagonal from="30000" to="153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仿宋" w:hAnsi="仿宋" w:eastAsia="仿宋" w:cs="仿宋"/>
                <w:b/>
                <w:bCs/>
                <w:color w:val="auto"/>
                <w:spacing w:val="4"/>
                <w:sz w:val="24"/>
                <w:szCs w:val="24"/>
                <w:shd w:val="clear" w:color="auto" w:fill="auto"/>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4"/>
                <w:sz w:val="24"/>
                <w:szCs w:val="24"/>
                <w:shd w:val="clear" w:color="auto" w:fill="auto"/>
              </w:rPr>
              <w:t>方位角(θ)</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间距</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类区</w:t>
            </w:r>
          </w:p>
        </w:tc>
        <w:tc>
          <w:tcPr>
            <w:tcW w:w="1284"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18"/>
                <w:sz w:val="24"/>
                <w:szCs w:val="24"/>
                <w:shd w:val="clear" w:color="auto" w:fill="auto"/>
              </w:rPr>
              <w:t>旧区</w:t>
            </w:r>
          </w:p>
        </w:tc>
        <w:tc>
          <w:tcPr>
            <w:tcW w:w="1476"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5"/>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238"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2"/>
                <w:sz w:val="24"/>
                <w:szCs w:val="24"/>
                <w:shd w:val="clear" w:color="auto" w:fill="auto"/>
              </w:rPr>
              <w:t>0～45°</w:t>
            </w:r>
          </w:p>
        </w:tc>
        <w:tc>
          <w:tcPr>
            <w:tcW w:w="1284"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≥1.0H</w:t>
            </w:r>
          </w:p>
        </w:tc>
        <w:tc>
          <w:tcPr>
            <w:tcW w:w="1476"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4"/>
                <w:sz w:val="24"/>
                <w:szCs w:val="24"/>
                <w:shd w:val="clear" w:color="auto" w:fill="auto"/>
              </w:rPr>
              <w:t>≥1.1H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2238"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2"/>
                <w:sz w:val="24"/>
                <w:szCs w:val="24"/>
                <w:shd w:val="clear" w:color="auto" w:fill="auto"/>
              </w:rPr>
              <w:t>&gt;45°</w:t>
            </w:r>
          </w:p>
        </w:tc>
        <w:tc>
          <w:tcPr>
            <w:tcW w:w="1284"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≥0.8H</w:t>
            </w:r>
          </w:p>
        </w:tc>
        <w:tc>
          <w:tcPr>
            <w:tcW w:w="1476"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≥0.9H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5000" w:type="pct"/>
            <w:gridSpan w:val="3"/>
            <w:vAlign w:val="center"/>
          </w:tcPr>
          <w:p>
            <w:pPr>
              <w:keepNext w:val="0"/>
              <w:keepLines w:val="0"/>
              <w:widowControl/>
              <w:suppressLineNumbers w:val="0"/>
              <w:jc w:val="center"/>
              <w:rPr>
                <w:rFonts w:hint="eastAsia" w:ascii="仿宋" w:hAnsi="仿宋" w:eastAsia="仿宋" w:cs="仿宋"/>
                <w:color w:val="auto"/>
                <w:kern w:val="0"/>
                <w:sz w:val="23"/>
                <w:szCs w:val="23"/>
                <w:shd w:val="clear" w:color="auto" w:fill="auto"/>
                <w:lang w:val="en-US" w:eastAsia="zh-CN" w:bidi="ar"/>
              </w:rPr>
            </w:pPr>
            <w:r>
              <w:rPr>
                <w:color w:val="auto"/>
                <w:shd w:val="clear" w:color="auto" w:fill="auto"/>
              </w:rPr>
              <w:drawing>
                <wp:anchor distT="0" distB="0" distL="114300" distR="114300" simplePos="0" relativeHeight="251673600" behindDoc="0" locked="0" layoutInCell="1" allowOverlap="1">
                  <wp:simplePos x="0" y="0"/>
                  <wp:positionH relativeFrom="column">
                    <wp:posOffset>147320</wp:posOffset>
                  </wp:positionH>
                  <wp:positionV relativeFrom="paragraph">
                    <wp:posOffset>203200</wp:posOffset>
                  </wp:positionV>
                  <wp:extent cx="5579110" cy="3728720"/>
                  <wp:effectExtent l="0" t="0" r="2540" b="5080"/>
                  <wp:wrapSquare wrapText="bothSides"/>
                  <wp:docPr id="67" name="Picutre 67"/>
                  <wp:cNvGraphicFramePr/>
                  <a:graphic xmlns:a="http://schemas.openxmlformats.org/drawingml/2006/main">
                    <a:graphicData uri="http://schemas.openxmlformats.org/drawingml/2006/picture">
                      <pic:pic xmlns:pic="http://schemas.openxmlformats.org/drawingml/2006/picture">
                        <pic:nvPicPr>
                          <pic:cNvPr id="67" name="Picutre 67"/>
                          <pic:cNvPicPr/>
                        </pic:nvPicPr>
                        <pic:blipFill>
                          <a:blip r:embed="rId15"/>
                          <a:stretch>
                            <a:fillRect/>
                          </a:stretch>
                        </pic:blipFill>
                        <pic:spPr>
                          <a:xfrm>
                            <a:off x="0" y="0"/>
                            <a:ext cx="5579110" cy="3728720"/>
                          </a:xfrm>
                          <a:prstGeom prst="rect">
                            <a:avLst/>
                          </a:prstGeom>
                        </pic:spPr>
                      </pic:pic>
                    </a:graphicData>
                  </a:graphic>
                </wp:anchor>
              </w:drawing>
            </w:r>
            <w:r>
              <w:rPr>
                <w:rFonts w:ascii="仿宋" w:hAnsi="仿宋" w:eastAsia="仿宋" w:cs="仿宋"/>
                <w:color w:val="auto"/>
                <w:kern w:val="0"/>
                <w:sz w:val="23"/>
                <w:szCs w:val="23"/>
                <w:shd w:val="clear" w:color="auto" w:fill="auto"/>
                <w:lang w:val="en-US" w:eastAsia="zh-CN" w:bidi="ar"/>
              </w:rPr>
              <w:t>图示（注：L 为最小间距）</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w:t>
      </w:r>
      <w:r>
        <w:rPr>
          <w:rFonts w:hint="eastAsia" w:ascii="仿宋" w:hAnsi="仿宋" w:eastAsia="仿宋" w:cs="仿宋"/>
          <w:color w:val="auto"/>
          <w:sz w:val="21"/>
          <w:szCs w:val="21"/>
          <w:shd w:val="clear" w:color="auto" w:fill="auto"/>
          <w:lang w:val="en-US" w:eastAsia="en-US"/>
        </w:rPr>
        <w:t>1.H</w:t>
      </w:r>
      <w:r>
        <w:rPr>
          <w:rFonts w:hint="eastAsia" w:ascii="仿宋" w:hAnsi="仿宋" w:eastAsia="仿宋" w:cs="仿宋"/>
          <w:color w:val="auto"/>
          <w:sz w:val="21"/>
          <w:szCs w:val="21"/>
          <w:shd w:val="clear" w:color="auto" w:fill="auto"/>
          <w:lang w:val="en-US" w:eastAsia="zh-CN"/>
        </w:rPr>
        <w:t>为遮挡建筑的高度，</w:t>
      </w:r>
      <w:r>
        <w:rPr>
          <w:rFonts w:hint="eastAsia" w:ascii="仿宋" w:hAnsi="仿宋" w:eastAsia="仿宋" w:cs="仿宋"/>
          <w:color w:val="auto"/>
          <w:sz w:val="21"/>
          <w:szCs w:val="21"/>
          <w:shd w:val="clear" w:color="auto" w:fill="auto"/>
          <w:lang w:val="en-US" w:eastAsia="en-US"/>
        </w:rPr>
        <w:t>L</w:t>
      </w:r>
      <w:r>
        <w:rPr>
          <w:rFonts w:hint="eastAsia" w:ascii="仿宋" w:hAnsi="仿宋" w:eastAsia="仿宋" w:cs="仿宋"/>
          <w:color w:val="auto"/>
          <w:sz w:val="21"/>
          <w:szCs w:val="21"/>
          <w:shd w:val="clear" w:color="auto" w:fill="auto"/>
          <w:lang w:val="en-US" w:eastAsia="zh-CN"/>
        </w:rPr>
        <w:t>为最小间距。</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2.建筑物相邻布置其夹角≤30°时视作平行布置。</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3.建筑物相邻布置有夹角时均按最近点计算间距。</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4.表中方位角为正南向（0°）偏东（西）的方位角；方位角以被遮挡建筑的方位角为准。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5.H：当方位角小于等于 45°时为南向建筑高度；当方位角大于45°时为相邻较高建筑高度；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6.低层与低层、多层、中高之间最小距离为6米，多层与多层及中高层，中高层与中高层的最小间距均为9米；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7.一般居住建筑布置方位角不宜大于30°。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8.住宅建筑之间存在相互遮挡的，应分别计算最小间距，并按照其中较大的值确定其最小间距。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kern w:val="0"/>
          <w:sz w:val="30"/>
          <w:szCs w:val="30"/>
          <w:shd w:val="clear" w:color="auto" w:fill="auto"/>
          <w:lang w:val="en-US" w:eastAsia="zh-CN" w:bidi="ar"/>
        </w:rPr>
        <w:t xml:space="preserve">2、居住建筑垂直布置时，间距按表 3.2 控制： </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表3.2  居住建筑垂直布置时间距表</w:t>
      </w:r>
    </w:p>
    <w:tbl>
      <w:tblPr>
        <w:tblStyle w:val="25"/>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83"/>
        <w:gridCol w:w="2343"/>
        <w:gridCol w:w="2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2240" w:type="pct"/>
            <w:vAlign w:val="center"/>
            <mc:AlternateContent>
              <mc:Choice Requires="wpsCustomData">
                <wpsCustomData:diagonals>
                  <wpsCustomData:diagonal from="30000" to="8900">
                    <wpsCustomData:border w:val="single" w:color="000000" w:sz="4" w:space="0"/>
                  </wpsCustomData:diagonal>
                  <wpsCustomData:diagonal from="30000" to="153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仿宋" w:hAnsi="仿宋" w:eastAsia="仿宋" w:cs="仿宋"/>
                <w:b/>
                <w:bCs/>
                <w:color w:val="auto"/>
                <w:spacing w:val="4"/>
                <w:sz w:val="24"/>
                <w:szCs w:val="24"/>
                <w:shd w:val="clear" w:color="auto" w:fill="auto"/>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4"/>
                <w:sz w:val="24"/>
                <w:szCs w:val="24"/>
                <w:shd w:val="clear" w:color="auto" w:fill="auto"/>
              </w:rPr>
              <w:t>方位角(θ)</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间距</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类区</w:t>
            </w:r>
          </w:p>
        </w:tc>
        <w:tc>
          <w:tcPr>
            <w:tcW w:w="1285"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18"/>
                <w:sz w:val="24"/>
                <w:szCs w:val="24"/>
                <w:shd w:val="clear" w:color="auto" w:fill="auto"/>
              </w:rPr>
              <w:t>旧区</w:t>
            </w:r>
          </w:p>
        </w:tc>
        <w:tc>
          <w:tcPr>
            <w:tcW w:w="1473"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5"/>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240"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2"/>
                <w:sz w:val="24"/>
                <w:szCs w:val="24"/>
                <w:shd w:val="clear" w:color="auto" w:fill="auto"/>
              </w:rPr>
              <w:t>0～45°</w:t>
            </w:r>
          </w:p>
        </w:tc>
        <w:tc>
          <w:tcPr>
            <w:tcW w:w="1285"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w:t>
            </w:r>
            <w:r>
              <w:rPr>
                <w:rFonts w:hint="eastAsia" w:ascii="仿宋" w:hAnsi="仿宋" w:eastAsia="仿宋" w:cs="仿宋"/>
                <w:color w:val="auto"/>
                <w:spacing w:val="-5"/>
                <w:sz w:val="24"/>
                <w:szCs w:val="24"/>
                <w:shd w:val="clear" w:color="auto" w:fill="auto"/>
                <w:lang w:val="en-US" w:eastAsia="zh-CN"/>
              </w:rPr>
              <w:t>0.7</w:t>
            </w:r>
            <w:r>
              <w:rPr>
                <w:rFonts w:hint="eastAsia" w:ascii="仿宋" w:hAnsi="仿宋" w:eastAsia="仿宋" w:cs="仿宋"/>
                <w:color w:val="auto"/>
                <w:spacing w:val="-5"/>
                <w:sz w:val="24"/>
                <w:szCs w:val="24"/>
                <w:shd w:val="clear" w:color="auto" w:fill="auto"/>
              </w:rPr>
              <w:t>H</w:t>
            </w:r>
          </w:p>
        </w:tc>
        <w:tc>
          <w:tcPr>
            <w:tcW w:w="1473"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4"/>
                <w:sz w:val="24"/>
                <w:szCs w:val="24"/>
                <w:shd w:val="clear" w:color="auto" w:fill="auto"/>
              </w:rPr>
              <w:t>≥</w:t>
            </w:r>
            <w:r>
              <w:rPr>
                <w:rFonts w:hint="eastAsia" w:ascii="仿宋" w:hAnsi="仿宋" w:eastAsia="仿宋" w:cs="仿宋"/>
                <w:color w:val="auto"/>
                <w:spacing w:val="-4"/>
                <w:sz w:val="24"/>
                <w:szCs w:val="24"/>
                <w:shd w:val="clear" w:color="auto" w:fill="auto"/>
                <w:lang w:val="en-US" w:eastAsia="zh-CN"/>
              </w:rPr>
              <w:t>0.8</w:t>
            </w:r>
            <w:r>
              <w:rPr>
                <w:rFonts w:hint="eastAsia" w:ascii="仿宋" w:hAnsi="仿宋" w:eastAsia="仿宋" w:cs="仿宋"/>
                <w:color w:val="auto"/>
                <w:spacing w:val="-4"/>
                <w:sz w:val="24"/>
                <w:szCs w:val="24"/>
                <w:shd w:val="clear" w:color="auto" w:fill="auto"/>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2240"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2"/>
                <w:sz w:val="24"/>
                <w:szCs w:val="24"/>
                <w:shd w:val="clear" w:color="auto" w:fill="auto"/>
              </w:rPr>
              <w:t>&gt;45°</w:t>
            </w:r>
          </w:p>
        </w:tc>
        <w:tc>
          <w:tcPr>
            <w:tcW w:w="1285"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≥0.</w:t>
            </w:r>
            <w:r>
              <w:rPr>
                <w:rFonts w:hint="eastAsia" w:ascii="仿宋" w:hAnsi="仿宋" w:eastAsia="仿宋" w:cs="仿宋"/>
                <w:color w:val="auto"/>
                <w:spacing w:val="-5"/>
                <w:sz w:val="24"/>
                <w:szCs w:val="24"/>
                <w:shd w:val="clear" w:color="auto" w:fill="auto"/>
                <w:lang w:val="en-US" w:eastAsia="zh-CN"/>
              </w:rPr>
              <w:t>6</w:t>
            </w:r>
            <w:r>
              <w:rPr>
                <w:rFonts w:hint="eastAsia" w:ascii="仿宋" w:hAnsi="仿宋" w:eastAsia="仿宋" w:cs="仿宋"/>
                <w:color w:val="auto"/>
                <w:spacing w:val="-5"/>
                <w:sz w:val="24"/>
                <w:szCs w:val="24"/>
                <w:shd w:val="clear" w:color="auto" w:fill="auto"/>
              </w:rPr>
              <w:t>H</w:t>
            </w:r>
          </w:p>
        </w:tc>
        <w:tc>
          <w:tcPr>
            <w:tcW w:w="1473"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≥0.</w:t>
            </w:r>
            <w:r>
              <w:rPr>
                <w:rFonts w:hint="eastAsia" w:ascii="仿宋" w:hAnsi="仿宋" w:eastAsia="仿宋" w:cs="仿宋"/>
                <w:color w:val="auto"/>
                <w:spacing w:val="-5"/>
                <w:sz w:val="24"/>
                <w:szCs w:val="24"/>
                <w:shd w:val="clear" w:color="auto" w:fill="auto"/>
                <w:lang w:val="en-US" w:eastAsia="zh-CN"/>
              </w:rPr>
              <w:t>7</w:t>
            </w:r>
            <w:r>
              <w:rPr>
                <w:rFonts w:hint="eastAsia" w:ascii="仿宋" w:hAnsi="仿宋" w:eastAsia="仿宋" w:cs="仿宋"/>
                <w:color w:val="auto"/>
                <w:spacing w:val="-5"/>
                <w:sz w:val="24"/>
                <w:szCs w:val="24"/>
                <w:shd w:val="clear" w:color="auto" w:fill="auto"/>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5000" w:type="pct"/>
            <w:gridSpan w:val="3"/>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pacing w:val="-5"/>
                <w:sz w:val="24"/>
                <w:szCs w:val="24"/>
                <w:shd w:val="clear" w:color="auto" w:fill="auto"/>
              </w:rPr>
            </w:pPr>
            <w:r>
              <w:rPr>
                <w:color w:val="auto"/>
                <w:shd w:val="clear" w:color="auto" w:fill="auto"/>
              </w:rPr>
              <w:drawing>
                <wp:anchor distT="0" distB="0" distL="114300" distR="114300" simplePos="0" relativeHeight="251674624" behindDoc="0" locked="0" layoutInCell="1" allowOverlap="1">
                  <wp:simplePos x="0" y="0"/>
                  <wp:positionH relativeFrom="column">
                    <wp:posOffset>92710</wp:posOffset>
                  </wp:positionH>
                  <wp:positionV relativeFrom="paragraph">
                    <wp:posOffset>190500</wp:posOffset>
                  </wp:positionV>
                  <wp:extent cx="5529580" cy="4019550"/>
                  <wp:effectExtent l="0" t="0" r="13970" b="0"/>
                  <wp:wrapSquare wrapText="bothSides"/>
                  <wp:docPr id="68" name="Picutre 68"/>
                  <wp:cNvGraphicFramePr/>
                  <a:graphic xmlns:a="http://schemas.openxmlformats.org/drawingml/2006/main">
                    <a:graphicData uri="http://schemas.openxmlformats.org/drawingml/2006/picture">
                      <pic:pic xmlns:pic="http://schemas.openxmlformats.org/drawingml/2006/picture">
                        <pic:nvPicPr>
                          <pic:cNvPr id="68" name="Picutre 68"/>
                          <pic:cNvPicPr/>
                        </pic:nvPicPr>
                        <pic:blipFill>
                          <a:blip r:embed="rId16"/>
                          <a:stretch>
                            <a:fillRect/>
                          </a:stretch>
                        </pic:blipFill>
                        <pic:spPr>
                          <a:xfrm>
                            <a:off x="0" y="0"/>
                            <a:ext cx="5529580" cy="4019550"/>
                          </a:xfrm>
                          <a:prstGeom prst="rect">
                            <a:avLst/>
                          </a:prstGeom>
                        </pic:spPr>
                      </pic:pic>
                    </a:graphicData>
                  </a:graphic>
                </wp:anchor>
              </w:drawing>
            </w:r>
            <w:r>
              <w:rPr>
                <w:rFonts w:ascii="仿宋" w:hAnsi="仿宋" w:eastAsia="仿宋" w:cs="仿宋"/>
                <w:color w:val="auto"/>
                <w:kern w:val="0"/>
                <w:sz w:val="23"/>
                <w:szCs w:val="23"/>
                <w:shd w:val="clear" w:color="auto" w:fill="auto"/>
                <w:lang w:val="en-US" w:eastAsia="zh-CN" w:bidi="ar"/>
              </w:rPr>
              <w:t>图示（注：L 为最小间距）</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注：1.</w:t>
      </w:r>
      <w:r>
        <w:rPr>
          <w:rFonts w:hint="eastAsia" w:ascii="仿宋" w:hAnsi="仿宋" w:eastAsia="仿宋" w:cs="仿宋"/>
          <w:color w:val="auto"/>
          <w:sz w:val="21"/>
          <w:szCs w:val="21"/>
          <w:shd w:val="clear" w:color="auto" w:fill="auto"/>
          <w:lang w:val="en-US" w:eastAsia="en-US"/>
        </w:rPr>
        <w:t>H</w:t>
      </w:r>
      <w:r>
        <w:rPr>
          <w:rFonts w:hint="eastAsia" w:ascii="仿宋" w:hAnsi="仿宋" w:eastAsia="仿宋" w:cs="仿宋"/>
          <w:color w:val="auto"/>
          <w:sz w:val="21"/>
          <w:szCs w:val="21"/>
          <w:shd w:val="clear" w:color="auto" w:fill="auto"/>
          <w:lang w:val="en-US" w:eastAsia="zh-CN"/>
        </w:rPr>
        <w:t>为遮挡建筑的高度，</w:t>
      </w:r>
      <w:r>
        <w:rPr>
          <w:rFonts w:hint="eastAsia" w:ascii="仿宋" w:hAnsi="仿宋" w:eastAsia="仿宋" w:cs="仿宋"/>
          <w:color w:val="auto"/>
          <w:sz w:val="21"/>
          <w:szCs w:val="21"/>
          <w:shd w:val="clear" w:color="auto" w:fill="auto"/>
          <w:lang w:val="en-US" w:eastAsia="en-US"/>
        </w:rPr>
        <w:t>L</w:t>
      </w:r>
      <w:r>
        <w:rPr>
          <w:rFonts w:hint="eastAsia" w:ascii="仿宋" w:hAnsi="仿宋" w:eastAsia="仿宋" w:cs="仿宋"/>
          <w:color w:val="auto"/>
          <w:sz w:val="21"/>
          <w:szCs w:val="21"/>
          <w:shd w:val="clear" w:color="auto" w:fill="auto"/>
          <w:lang w:val="en-US" w:eastAsia="zh-CN"/>
        </w:rPr>
        <w:t>为最小间距。</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2.表中方位为正南向（0°）偏东（西）的方位角；方位角以被遮挡建筑的方位角为准。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3.H：当方位角小于等于 45°时为南向建筑高度；当方位角大于 45°时为相邻较高建筑高度；</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4.建筑物相邻布置夹角＞60°时视作垂直布置。</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5.低层与低层、多层、中高之间最小距离为 6 米，多层与多层及中高层，中高层与中高层的最小间距均为9米；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6.与居住建筑主朝向垂直布置时，新建建筑山墙宽度不得大于 16 米，超过16米的，其间距按平行布置的居住建筑控制。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7.住宅建筑之间存在相互遮挡的，应分别计算最小间距，并按照其中较大的值确定其最小间距。</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3、居住建筑既非平行又非垂直布置时，间距按表 3.3 控制。</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表3.3  居住建筑非平行非垂直布置间距表</w:t>
      </w:r>
    </w:p>
    <w:tbl>
      <w:tblPr>
        <w:tblStyle w:val="25"/>
        <w:tblW w:w="503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73"/>
        <w:gridCol w:w="2804"/>
        <w:gridCol w:w="3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730" w:type="pct"/>
            <w:vAlign w:val="center"/>
            <mc:AlternateContent>
              <mc:Choice Requires="wpsCustomData">
                <wpsCustomData:diagonals>
                  <wpsCustomData:diagonal from="30000" to="8900">
                    <wpsCustomData:border w:val="single" w:color="000000" w:sz="4" w:space="0"/>
                  </wpsCustomData:diagonal>
                  <wpsCustomData:diagonal from="30000" to="153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仿宋" w:hAnsi="仿宋" w:eastAsia="仿宋" w:cs="仿宋"/>
                <w:b/>
                <w:bCs/>
                <w:color w:val="auto"/>
                <w:spacing w:val="4"/>
                <w:sz w:val="24"/>
                <w:szCs w:val="24"/>
                <w:shd w:val="clear" w:color="auto" w:fill="auto"/>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4"/>
                <w:sz w:val="24"/>
                <w:szCs w:val="24"/>
                <w:shd w:val="clear" w:color="auto" w:fill="auto"/>
                <w:lang w:eastAsia="zh-CN"/>
              </w:rPr>
              <w:t>夹角</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间距</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类区</w:t>
            </w:r>
          </w:p>
        </w:tc>
        <w:tc>
          <w:tcPr>
            <w:tcW w:w="1529"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18"/>
                <w:sz w:val="24"/>
                <w:szCs w:val="24"/>
                <w:shd w:val="clear" w:color="auto" w:fill="auto"/>
              </w:rPr>
              <w:t>旧区</w:t>
            </w:r>
          </w:p>
        </w:tc>
        <w:tc>
          <w:tcPr>
            <w:tcW w:w="1740"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5"/>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730"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lang w:val="en-US" w:eastAsia="zh-CN"/>
              </w:rPr>
              <w:t>α≤30</w:t>
            </w:r>
            <w:r>
              <w:rPr>
                <w:rFonts w:hint="eastAsia" w:ascii="仿宋" w:hAnsi="仿宋" w:eastAsia="仿宋" w:cs="仿宋"/>
                <w:color w:val="auto"/>
                <w:spacing w:val="-2"/>
                <w:sz w:val="24"/>
                <w:szCs w:val="24"/>
                <w:shd w:val="clear" w:color="auto" w:fill="auto"/>
              </w:rPr>
              <w:t>°</w:t>
            </w:r>
          </w:p>
        </w:tc>
        <w:tc>
          <w:tcPr>
            <w:tcW w:w="3269" w:type="pct"/>
            <w:gridSpan w:val="2"/>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按平行布置的居住建筑控制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730"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lang w:val="en-US" w:eastAsia="zh-CN"/>
              </w:rPr>
              <w:t>30</w:t>
            </w:r>
            <w:r>
              <w:rPr>
                <w:rFonts w:hint="eastAsia" w:ascii="仿宋" w:hAnsi="仿宋" w:eastAsia="仿宋" w:cs="仿宋"/>
                <w:color w:val="auto"/>
                <w:spacing w:val="-2"/>
                <w:sz w:val="24"/>
                <w:szCs w:val="24"/>
                <w:shd w:val="clear" w:color="auto" w:fill="auto"/>
              </w:rPr>
              <w:t>°</w:t>
            </w:r>
            <w:r>
              <w:rPr>
                <w:rFonts w:hint="eastAsia" w:ascii="仿宋" w:hAnsi="仿宋" w:eastAsia="仿宋" w:cs="仿宋"/>
                <w:color w:val="auto"/>
                <w:spacing w:val="-2"/>
                <w:sz w:val="24"/>
                <w:szCs w:val="24"/>
                <w:shd w:val="clear" w:color="auto" w:fill="auto"/>
                <w:lang w:val="en-US" w:eastAsia="zh-CN"/>
              </w:rPr>
              <w:t>&lt;</w:t>
            </w:r>
            <w:r>
              <w:rPr>
                <w:rFonts w:hint="eastAsia" w:ascii="仿宋" w:hAnsi="仿宋" w:eastAsia="仿宋" w:cs="仿宋"/>
                <w:color w:val="auto"/>
                <w:sz w:val="24"/>
                <w:szCs w:val="24"/>
                <w:shd w:val="clear" w:color="auto" w:fill="auto"/>
                <w:lang w:val="en-US" w:eastAsia="zh-CN"/>
              </w:rPr>
              <w:t>α</w:t>
            </w:r>
            <w:r>
              <w:rPr>
                <w:rFonts w:hint="eastAsia" w:ascii="仿宋" w:hAnsi="仿宋" w:eastAsia="仿宋" w:cs="仿宋"/>
                <w:color w:val="auto"/>
                <w:spacing w:val="-2"/>
                <w:sz w:val="24"/>
                <w:szCs w:val="24"/>
                <w:shd w:val="clear" w:color="auto" w:fill="auto"/>
                <w:lang w:val="en-US" w:eastAsia="zh-CN"/>
              </w:rPr>
              <w:t>&lt;</w:t>
            </w:r>
            <w:r>
              <w:rPr>
                <w:rFonts w:hint="eastAsia" w:ascii="仿宋" w:hAnsi="仿宋" w:eastAsia="仿宋" w:cs="仿宋"/>
                <w:color w:val="auto"/>
                <w:sz w:val="24"/>
                <w:szCs w:val="24"/>
                <w:shd w:val="clear" w:color="auto" w:fill="auto"/>
                <w:lang w:val="en-US" w:eastAsia="zh-CN"/>
              </w:rPr>
              <w:t>60</w:t>
            </w:r>
            <w:r>
              <w:rPr>
                <w:rFonts w:hint="eastAsia" w:ascii="仿宋" w:hAnsi="仿宋" w:eastAsia="仿宋" w:cs="仿宋"/>
                <w:color w:val="auto"/>
                <w:spacing w:val="-2"/>
                <w:sz w:val="24"/>
                <w:szCs w:val="24"/>
                <w:shd w:val="clear" w:color="auto" w:fill="auto"/>
              </w:rPr>
              <w:t>°</w:t>
            </w:r>
          </w:p>
        </w:tc>
        <w:tc>
          <w:tcPr>
            <w:tcW w:w="1529"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0.</w:t>
            </w:r>
            <w:r>
              <w:rPr>
                <w:rFonts w:hint="eastAsia" w:ascii="仿宋" w:hAnsi="仿宋" w:eastAsia="仿宋" w:cs="仿宋"/>
                <w:color w:val="auto"/>
                <w:spacing w:val="-5"/>
                <w:sz w:val="24"/>
                <w:szCs w:val="24"/>
                <w:shd w:val="clear" w:color="auto" w:fill="auto"/>
                <w:lang w:val="en-US" w:eastAsia="zh-CN"/>
              </w:rPr>
              <w:t>7</w:t>
            </w:r>
            <w:r>
              <w:rPr>
                <w:rFonts w:hint="eastAsia" w:ascii="仿宋" w:hAnsi="仿宋" w:eastAsia="仿宋" w:cs="仿宋"/>
                <w:color w:val="auto"/>
                <w:spacing w:val="-5"/>
                <w:sz w:val="24"/>
                <w:szCs w:val="24"/>
                <w:shd w:val="clear" w:color="auto" w:fill="auto"/>
              </w:rPr>
              <w:t>H</w:t>
            </w:r>
          </w:p>
        </w:tc>
        <w:tc>
          <w:tcPr>
            <w:tcW w:w="1740"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5"/>
                <w:sz w:val="24"/>
                <w:szCs w:val="24"/>
                <w:shd w:val="clear" w:color="auto" w:fill="auto"/>
              </w:rPr>
              <w:t>0.</w:t>
            </w:r>
            <w:r>
              <w:rPr>
                <w:rFonts w:hint="eastAsia" w:ascii="仿宋" w:hAnsi="仿宋" w:eastAsia="仿宋" w:cs="仿宋"/>
                <w:color w:val="auto"/>
                <w:spacing w:val="-5"/>
                <w:sz w:val="24"/>
                <w:szCs w:val="24"/>
                <w:shd w:val="clear" w:color="auto" w:fill="auto"/>
                <w:lang w:val="en-US" w:eastAsia="zh-CN"/>
              </w:rPr>
              <w:t>8</w:t>
            </w:r>
            <w:r>
              <w:rPr>
                <w:rFonts w:hint="eastAsia" w:ascii="仿宋" w:hAnsi="仿宋" w:eastAsia="仿宋" w:cs="仿宋"/>
                <w:color w:val="auto"/>
                <w:spacing w:val="-5"/>
                <w:sz w:val="24"/>
                <w:szCs w:val="24"/>
                <w:shd w:val="clear" w:color="auto" w:fill="auto"/>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730"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z w:val="24"/>
                <w:szCs w:val="24"/>
                <w:shd w:val="clear" w:color="auto" w:fill="auto"/>
                <w:lang w:val="en-US" w:eastAsia="zh-CN"/>
              </w:rPr>
              <w:t>α≥60</w:t>
            </w:r>
            <w:r>
              <w:rPr>
                <w:rFonts w:hint="eastAsia" w:ascii="仿宋" w:hAnsi="仿宋" w:eastAsia="仿宋" w:cs="仿宋"/>
                <w:color w:val="auto"/>
                <w:spacing w:val="-2"/>
                <w:sz w:val="24"/>
                <w:szCs w:val="24"/>
                <w:shd w:val="clear" w:color="auto" w:fill="auto"/>
              </w:rPr>
              <w:t>°</w:t>
            </w:r>
          </w:p>
        </w:tc>
        <w:tc>
          <w:tcPr>
            <w:tcW w:w="3269" w:type="pct"/>
            <w:gridSpan w:val="2"/>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pacing w:val="-5"/>
                <w:sz w:val="24"/>
                <w:szCs w:val="24"/>
                <w:shd w:val="clear" w:color="auto" w:fill="auto"/>
              </w:rPr>
            </w:pPr>
            <w:r>
              <w:rPr>
                <w:rFonts w:hint="eastAsia" w:ascii="仿宋" w:hAnsi="仿宋" w:eastAsia="仿宋" w:cs="仿宋"/>
                <w:color w:val="auto"/>
                <w:sz w:val="24"/>
                <w:szCs w:val="24"/>
                <w:shd w:val="clear" w:color="auto" w:fill="auto"/>
                <w:lang w:eastAsia="zh-CN"/>
              </w:rPr>
              <w:t>按垂直布置的居住建筑控制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5000" w:type="pct"/>
            <w:gridSpan w:val="3"/>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lang w:eastAsia="zh-CN"/>
              </w:rPr>
            </w:pPr>
            <w:r>
              <w:rPr>
                <w:rFonts w:ascii="仿宋" w:hAnsi="仿宋" w:eastAsia="仿宋" w:cs="仿宋"/>
                <w:color w:val="auto"/>
                <w:kern w:val="0"/>
                <w:sz w:val="23"/>
                <w:szCs w:val="23"/>
                <w:shd w:val="clear" w:color="auto" w:fill="auto"/>
                <w:lang w:val="en-US" w:eastAsia="zh-CN" w:bidi="ar"/>
              </w:rPr>
              <w:t>图示（注：L 为最小间距）</w:t>
            </w:r>
            <w:r>
              <w:rPr>
                <w:color w:val="auto"/>
                <w:shd w:val="clear" w:color="auto" w:fill="auto"/>
              </w:rPr>
              <w:drawing>
                <wp:inline distT="0" distB="0" distL="114300" distR="114300">
                  <wp:extent cx="5715000" cy="1977390"/>
                  <wp:effectExtent l="0" t="0" r="0" b="3810"/>
                  <wp:docPr id="77" name="Picutre 77"/>
                  <wp:cNvGraphicFramePr/>
                  <a:graphic xmlns:a="http://schemas.openxmlformats.org/drawingml/2006/main">
                    <a:graphicData uri="http://schemas.openxmlformats.org/drawingml/2006/picture">
                      <pic:pic xmlns:pic="http://schemas.openxmlformats.org/drawingml/2006/picture">
                        <pic:nvPicPr>
                          <pic:cNvPr id="77" name="Picutre 77"/>
                          <pic:cNvPicPr/>
                        </pic:nvPicPr>
                        <pic:blipFill>
                          <a:blip r:embed="rId17"/>
                          <a:stretch>
                            <a:fillRect/>
                          </a:stretch>
                        </pic:blipFill>
                        <pic:spPr>
                          <a:xfrm>
                            <a:off x="0" y="0"/>
                            <a:ext cx="5715000" cy="1977390"/>
                          </a:xfrm>
                          <a:prstGeom prst="rect">
                            <a:avLst/>
                          </a:prstGeom>
                        </pic:spPr>
                      </pic:pic>
                    </a:graphicData>
                  </a:graphic>
                </wp:inline>
              </w:drawing>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200" w:right="0" w:rightChars="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注：1.表中</w:t>
      </w:r>
      <w:r>
        <w:rPr>
          <w:rFonts w:hint="eastAsia" w:ascii="仿宋" w:hAnsi="仿宋" w:eastAsia="仿宋" w:cs="仿宋"/>
          <w:color w:val="auto"/>
          <w:sz w:val="21"/>
          <w:szCs w:val="21"/>
          <w:shd w:val="clear" w:color="auto" w:fill="auto"/>
          <w:lang w:val="en-US" w:eastAsia="en-US"/>
        </w:rPr>
        <w:t>a</w:t>
      </w:r>
      <w:r>
        <w:rPr>
          <w:rFonts w:hint="eastAsia" w:ascii="仿宋" w:hAnsi="仿宋" w:eastAsia="仿宋" w:cs="仿宋"/>
          <w:color w:val="auto"/>
          <w:sz w:val="21"/>
          <w:szCs w:val="21"/>
          <w:shd w:val="clear" w:color="auto" w:fill="auto"/>
          <w:lang w:val="en-US" w:eastAsia="zh-CN"/>
        </w:rPr>
        <w:t>指相邻布置的两栋建筑之间的夹角。</w:t>
      </w:r>
    </w:p>
    <w:p>
      <w:pPr>
        <w:pStyle w:val="11"/>
        <w:keepNext w:val="0"/>
        <w:keepLines w:val="0"/>
        <w:pageBreakBefore w:val="0"/>
        <w:widowControl/>
        <w:numPr>
          <w:ilvl w:val="0"/>
          <w:numId w:val="7"/>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en-US"/>
        </w:rPr>
        <w:t>H</w:t>
      </w:r>
      <w:r>
        <w:rPr>
          <w:rFonts w:hint="eastAsia" w:ascii="仿宋" w:hAnsi="仿宋" w:eastAsia="仿宋" w:cs="仿宋"/>
          <w:color w:val="auto"/>
          <w:sz w:val="21"/>
          <w:szCs w:val="21"/>
          <w:shd w:val="clear" w:color="auto" w:fill="auto"/>
          <w:lang w:val="en-US" w:eastAsia="zh-CN"/>
        </w:rPr>
        <w:t>为遮挡建筑的高度，</w:t>
      </w:r>
      <w:r>
        <w:rPr>
          <w:rFonts w:hint="eastAsia" w:ascii="仿宋" w:hAnsi="仿宋" w:eastAsia="仿宋" w:cs="仿宋"/>
          <w:color w:val="auto"/>
          <w:sz w:val="21"/>
          <w:szCs w:val="21"/>
          <w:shd w:val="clear" w:color="auto" w:fill="auto"/>
          <w:lang w:val="en-US" w:eastAsia="en-US"/>
        </w:rPr>
        <w:t>L</w:t>
      </w:r>
      <w:r>
        <w:rPr>
          <w:rFonts w:hint="eastAsia" w:ascii="仿宋" w:hAnsi="仿宋" w:eastAsia="仿宋" w:cs="仿宋"/>
          <w:color w:val="auto"/>
          <w:sz w:val="21"/>
          <w:szCs w:val="21"/>
          <w:shd w:val="clear" w:color="auto" w:fill="auto"/>
          <w:lang w:val="en-US" w:eastAsia="zh-CN"/>
        </w:rPr>
        <w:t>为最小间距。</w:t>
      </w:r>
    </w:p>
    <w:p>
      <w:pPr>
        <w:pStyle w:val="11"/>
        <w:keepNext w:val="0"/>
        <w:keepLines w:val="0"/>
        <w:pageBreakBefore w:val="0"/>
        <w:widowControl/>
        <w:numPr>
          <w:ilvl w:val="0"/>
          <w:numId w:val="7"/>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建筑方位以被遮挡建筑的方位角为准。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仿宋" w:hAnsi="仿宋" w:eastAsia="仿宋" w:cs="仿宋"/>
          <w:color w:val="auto"/>
          <w:sz w:val="21"/>
          <w:szCs w:val="21"/>
          <w:shd w:val="clear" w:color="auto" w:fil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 xml:space="preserve">4、居住建筑的山墙间距按表 </w:t>
      </w:r>
      <w:r>
        <w:rPr>
          <w:rFonts w:hint="default" w:ascii="仿宋" w:hAnsi="仿宋" w:eastAsia="仿宋" w:cs="仿宋"/>
          <w:color w:val="auto"/>
          <w:kern w:val="0"/>
          <w:sz w:val="30"/>
          <w:szCs w:val="30"/>
          <w:shd w:val="clear" w:color="auto" w:fill="auto"/>
          <w:lang w:val="en-US" w:eastAsia="zh-CN" w:bidi="ar"/>
        </w:rPr>
        <w:t xml:space="preserve">3.4 </w:t>
      </w:r>
      <w:r>
        <w:rPr>
          <w:rFonts w:hint="eastAsia" w:ascii="仿宋" w:hAnsi="仿宋" w:eastAsia="仿宋" w:cs="仿宋"/>
          <w:color w:val="auto"/>
          <w:kern w:val="0"/>
          <w:sz w:val="30"/>
          <w:szCs w:val="30"/>
          <w:shd w:val="clear" w:color="auto" w:fill="auto"/>
          <w:lang w:val="en-US" w:eastAsia="zh-CN" w:bidi="ar"/>
        </w:rPr>
        <w:t xml:space="preserve">控制：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表3.4  居住建筑山墙间距表</w:t>
      </w:r>
    </w:p>
    <w:tbl>
      <w:tblPr>
        <w:tblStyle w:val="25"/>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22"/>
        <w:gridCol w:w="2551"/>
        <w:gridCol w:w="3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1657" w:type="pct"/>
            <w:vAlign w:val="center"/>
            <mc:AlternateContent>
              <mc:Choice Requires="wpsCustomData">
                <wpsCustomData:diagonals>
                  <wpsCustomData:diagonal from="30000" to="6800">
                    <wpsCustomData:border w:val="single" w:color="000000" w:sz="4" w:space="0"/>
                  </wpsCustomData:diagonal>
                  <wpsCustomData:diagonal from="15000" to="300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3"/>
                <w:sz w:val="24"/>
                <w:szCs w:val="24"/>
                <w:shd w:val="clear" w:color="auto" w:fill="auto"/>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pacing w:val="3"/>
                <w:sz w:val="24"/>
                <w:szCs w:val="24"/>
                <w:shd w:val="clear" w:color="auto" w:fill="auto"/>
                <w:lang w:eastAsia="zh-CN"/>
              </w:rPr>
            </w:pPr>
            <w:r>
              <w:rPr>
                <w:rFonts w:hint="eastAsia" w:ascii="仿宋" w:hAnsi="仿宋" w:eastAsia="仿宋" w:cs="仿宋"/>
                <w:b/>
                <w:bCs/>
                <w:color w:val="auto"/>
                <w:spacing w:val="3"/>
                <w:sz w:val="24"/>
                <w:szCs w:val="24"/>
                <w:shd w:val="clear" w:color="auto" w:fill="auto"/>
                <w:lang w:eastAsia="zh-CN"/>
              </w:rPr>
              <w:t>类别</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3"/>
                <w:sz w:val="24"/>
                <w:szCs w:val="24"/>
                <w:shd w:val="clear" w:color="auto" w:fill="auto"/>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pacing w:val="3"/>
                <w:sz w:val="24"/>
                <w:szCs w:val="24"/>
                <w:shd w:val="clear" w:color="auto" w:fill="auto"/>
                <w:lang w:eastAsia="zh-CN"/>
              </w:rPr>
            </w:pPr>
            <w:r>
              <w:rPr>
                <w:rFonts w:hint="eastAsia" w:ascii="仿宋" w:hAnsi="仿宋" w:eastAsia="仿宋" w:cs="仿宋"/>
                <w:b/>
                <w:bCs/>
                <w:color w:val="auto"/>
                <w:spacing w:val="3"/>
                <w:sz w:val="24"/>
                <w:szCs w:val="24"/>
                <w:shd w:val="clear" w:color="auto" w:fill="auto"/>
                <w:lang w:eastAsia="zh-CN"/>
              </w:rPr>
              <w:t>间距</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3"/>
                <w:sz w:val="24"/>
                <w:szCs w:val="24"/>
                <w:shd w:val="clear" w:color="auto" w:fill="auto"/>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3"/>
                <w:sz w:val="24"/>
                <w:szCs w:val="24"/>
                <w:shd w:val="clear" w:color="auto" w:fill="auto"/>
                <w:lang w:eastAsia="zh-CN"/>
              </w:rPr>
            </w:pPr>
            <w:r>
              <w:rPr>
                <w:rFonts w:hint="eastAsia" w:ascii="仿宋" w:hAnsi="仿宋" w:eastAsia="仿宋" w:cs="仿宋"/>
                <w:b/>
                <w:bCs/>
                <w:color w:val="auto"/>
                <w:spacing w:val="3"/>
                <w:sz w:val="24"/>
                <w:szCs w:val="24"/>
                <w:shd w:val="clear" w:color="auto" w:fill="auto"/>
                <w:lang w:eastAsia="zh-CN"/>
              </w:rPr>
              <w:t>类区</w:t>
            </w:r>
          </w:p>
        </w:tc>
        <w:tc>
          <w:tcPr>
            <w:tcW w:w="1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3"/>
                <w:sz w:val="24"/>
                <w:szCs w:val="24"/>
                <w:shd w:val="clear" w:color="auto" w:fill="auto"/>
              </w:rPr>
            </w:pPr>
            <w:r>
              <w:rPr>
                <w:rFonts w:hint="eastAsia" w:ascii="仿宋" w:hAnsi="仿宋" w:eastAsia="仿宋" w:cs="仿宋"/>
                <w:b/>
                <w:bCs/>
                <w:color w:val="auto"/>
                <w:spacing w:val="3"/>
                <w:sz w:val="24"/>
                <w:szCs w:val="24"/>
                <w:shd w:val="clear" w:color="auto" w:fill="auto"/>
              </w:rPr>
              <w:t>旧区</w:t>
            </w:r>
          </w:p>
        </w:tc>
        <w:tc>
          <w:tcPr>
            <w:tcW w:w="19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3"/>
                <w:sz w:val="24"/>
                <w:szCs w:val="24"/>
                <w:shd w:val="clear" w:color="auto" w:fill="auto"/>
              </w:rPr>
            </w:pPr>
            <w:r>
              <w:rPr>
                <w:rFonts w:hint="eastAsia" w:ascii="仿宋" w:hAnsi="仿宋" w:eastAsia="仿宋" w:cs="仿宋"/>
                <w:b/>
                <w:bCs/>
                <w:color w:val="auto"/>
                <w:spacing w:val="3"/>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65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4"/>
                <w:sz w:val="24"/>
                <w:szCs w:val="24"/>
                <w:shd w:val="clear" w:color="auto" w:fill="auto"/>
              </w:rPr>
              <w:t>低层</w:t>
            </w:r>
          </w:p>
        </w:tc>
        <w:tc>
          <w:tcPr>
            <w:tcW w:w="1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≥5米</w:t>
            </w:r>
          </w:p>
        </w:tc>
        <w:tc>
          <w:tcPr>
            <w:tcW w:w="19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≥6米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65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多层</w:t>
            </w:r>
          </w:p>
        </w:tc>
        <w:tc>
          <w:tcPr>
            <w:tcW w:w="1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≥6米</w:t>
            </w:r>
          </w:p>
        </w:tc>
        <w:tc>
          <w:tcPr>
            <w:tcW w:w="19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≥7米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65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1"/>
                <w:sz w:val="24"/>
                <w:szCs w:val="24"/>
                <w:shd w:val="clear" w:color="auto" w:fill="auto"/>
              </w:rPr>
              <w:t>中高层</w:t>
            </w:r>
          </w:p>
        </w:tc>
        <w:tc>
          <w:tcPr>
            <w:tcW w:w="13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≥8米</w:t>
            </w:r>
          </w:p>
        </w:tc>
        <w:tc>
          <w:tcPr>
            <w:tcW w:w="194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≥9米</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注：1.对按上述规定不能满足消防间距或通道以及管线等要求的，按相关规范规定要求控制，并由自然资源主管部门核定。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2.住宅建筑山墙非平行布置时，以其最窄处控制山墙间距。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3.居住建筑山墙有居室窗户的，其与相邻居住建筑的间距应适当增加。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4.在相邻两座单、多层建筑，当相邻外墙为不燃性墙体且无外露的可燃性屋檐，每面外墙上无防火保护的门、窗、洞口不正对开设且该门、窗、洞口的面积之和不大于外墙面积的5%时，其防火间距可按本表的规定减少25%。</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宋体" w:hAnsi="宋体" w:eastAsia="宋体" w:cs="宋体"/>
          <w:color w:val="auto"/>
          <w:sz w:val="21"/>
          <w:szCs w:val="21"/>
          <w:shd w:val="clear" w:color="auto" w:fill="auto"/>
          <w:vertAlign w:val="baseline"/>
          <w:lang w:val="en-US" w:eastAsia="zh-CN"/>
        </w:rPr>
      </w:pPr>
    </w:p>
    <w:p>
      <w:pPr>
        <w:pStyle w:val="11"/>
        <w:keepNext w:val="0"/>
        <w:keepLines w:val="0"/>
        <w:pageBreakBefore w:val="0"/>
        <w:widowControl/>
        <w:numPr>
          <w:ilvl w:val="1"/>
          <w:numId w:val="4"/>
        </w:numPr>
        <w:suppressLineNumbers w:val="0"/>
        <w:shd w:val="clear" w:fill="FFFFFF"/>
        <w:kinsoku/>
        <w:wordWrap/>
        <w:overflowPunct/>
        <w:topLinePunct w:val="0"/>
        <w:autoSpaceDE/>
        <w:bidi w:val="0"/>
        <w:spacing w:before="0" w:beforeAutospacing="0" w:after="0" w:afterAutospacing="0" w:line="360" w:lineRule="auto"/>
        <w:ind w:left="30" w:leftChars="0" w:right="0" w:firstLine="600" w:firstLineChars="200"/>
        <w:rPr>
          <w:rFonts w:hint="eastAsia" w:ascii="方正仿宋_GB2312" w:hAnsi="方正仿宋_GB2312" w:eastAsia="方正仿宋_GB2312" w:cs="方正仿宋_GB2312"/>
          <w:b w:val="0"/>
          <w:bCs w:val="0"/>
          <w:color w:val="auto"/>
          <w:sz w:val="30"/>
          <w:szCs w:val="30"/>
          <w:shd w:val="clear" w:color="auto" w:fill="auto"/>
          <w:lang w:val="en-US" w:eastAsia="zh-CN"/>
        </w:rPr>
      </w:pPr>
      <w:r>
        <w:rPr>
          <w:rFonts w:hint="eastAsia" w:ascii="方正仿宋_GB2312" w:hAnsi="方正仿宋_GB2312" w:eastAsia="方正仿宋_GB2312" w:cs="方正仿宋_GB2312"/>
          <w:b w:val="0"/>
          <w:bCs w:val="0"/>
          <w:color w:val="auto"/>
          <w:sz w:val="30"/>
          <w:szCs w:val="30"/>
          <w:shd w:val="clear" w:color="auto" w:fill="auto"/>
          <w:lang w:val="en-US" w:eastAsia="zh-CN"/>
        </w:rPr>
        <w:t xml:space="preserve">高层居住建筑与高层居住建筑的建筑间距 </w:t>
      </w:r>
    </w:p>
    <w:p>
      <w:pPr>
        <w:pStyle w:val="11"/>
        <w:keepNext w:val="0"/>
        <w:keepLines w:val="0"/>
        <w:pageBreakBefore w:val="0"/>
        <w:widowControl/>
        <w:numPr>
          <w:ilvl w:val="0"/>
          <w:numId w:val="8"/>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高层居住建筑与高层居住建筑平行布置时，间距按表3.5控制：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表3.5  高层住宅建筑平行布置间距表</w:t>
      </w:r>
    </w:p>
    <w:tbl>
      <w:tblPr>
        <w:tblStyle w:val="25"/>
        <w:tblpPr w:leftFromText="180" w:rightFromText="180" w:vertAnchor="text" w:horzAnchor="page" w:tblpX="1579" w:tblpY="159"/>
        <w:tblOverlap w:val="never"/>
        <w:tblW w:w="500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8"/>
        <w:gridCol w:w="3237"/>
        <w:gridCol w:w="2005"/>
        <w:gridCol w:w="2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936"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2"/>
                <w:sz w:val="24"/>
                <w:szCs w:val="24"/>
                <w:shd w:val="clear" w:color="auto" w:fill="auto"/>
                <w:lang w:eastAsia="zh-CN"/>
              </w:rPr>
            </w:pPr>
            <w:r>
              <w:rPr>
                <w:rFonts w:hint="eastAsia" w:ascii="仿宋" w:hAnsi="仿宋" w:eastAsia="仿宋" w:cs="仿宋"/>
                <w:b/>
                <w:bCs/>
                <w:color w:val="auto"/>
                <w:spacing w:val="4"/>
                <w:sz w:val="24"/>
                <w:szCs w:val="24"/>
                <w:shd w:val="clear" w:color="auto" w:fill="auto"/>
              </w:rPr>
              <w:t>方位角(θ</w:t>
            </w:r>
            <w:r>
              <w:rPr>
                <w:rFonts w:hint="eastAsia" w:ascii="仿宋" w:hAnsi="仿宋" w:eastAsia="仿宋" w:cs="仿宋"/>
                <w:b/>
                <w:bCs/>
                <w:color w:val="auto"/>
                <w:spacing w:val="4"/>
                <w:sz w:val="24"/>
                <w:szCs w:val="24"/>
                <w:shd w:val="clear" w:color="auto" w:fill="auto"/>
                <w:lang w:eastAsia="zh-CN"/>
              </w:rPr>
              <w:t>）</w:t>
            </w:r>
          </w:p>
        </w:tc>
        <w:tc>
          <w:tcPr>
            <w:tcW w:w="1773" w:type="pct"/>
            <w:tcBorders>
              <w:left w:val="single" w:color="auto" w:sz="4" w:space="0"/>
            </w:tcBorders>
            <w:vAlign w:val="center"/>
            <mc:AlternateContent>
              <mc:Choice Requires="wpsCustomData">
                <wpsCustomData:diagonals>
                  <wpsCustomData:diagonal from="30000" to="6400">
                    <wpsCustomData:border w:val="single" w:color="000000" w:sz="4" w:space="0"/>
                  </wpsCustomData:diagonal>
                  <wpsCustomData:diagonal from="15000" to="300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pacing w:val="2"/>
                <w:sz w:val="24"/>
                <w:szCs w:val="24"/>
                <w:shd w:val="clear" w:color="auto" w:fill="auto"/>
                <w:lang w:eastAsia="zh-CN"/>
              </w:rPr>
            </w:pPr>
            <w:r>
              <w:rPr>
                <w:rFonts w:hint="eastAsia" w:ascii="仿宋" w:hAnsi="仿宋" w:eastAsia="仿宋" w:cs="仿宋"/>
                <w:b/>
                <w:bCs/>
                <w:color w:val="auto"/>
                <w:spacing w:val="2"/>
                <w:sz w:val="24"/>
                <w:szCs w:val="24"/>
                <w:shd w:val="clear" w:color="auto" w:fill="auto"/>
                <w:lang w:eastAsia="zh-CN"/>
              </w:rPr>
              <w:t>高度</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pacing w:val="2"/>
                <w:sz w:val="24"/>
                <w:szCs w:val="24"/>
                <w:shd w:val="clear" w:color="auto" w:fill="auto"/>
                <w:lang w:eastAsia="zh-CN"/>
              </w:rPr>
            </w:pPr>
            <w:r>
              <w:rPr>
                <w:rFonts w:hint="eastAsia" w:ascii="仿宋" w:hAnsi="仿宋" w:eastAsia="仿宋" w:cs="仿宋"/>
                <w:b/>
                <w:bCs/>
                <w:color w:val="auto"/>
                <w:spacing w:val="2"/>
                <w:sz w:val="24"/>
                <w:szCs w:val="24"/>
                <w:shd w:val="clear" w:color="auto" w:fill="auto"/>
                <w:lang w:eastAsia="zh-CN"/>
              </w:rPr>
              <w:t>间距</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2"/>
                <w:sz w:val="24"/>
                <w:szCs w:val="24"/>
                <w:shd w:val="clear" w:color="auto" w:fill="auto"/>
                <w:lang w:eastAsia="zh-CN"/>
              </w:rPr>
            </w:pPr>
            <w:r>
              <w:rPr>
                <w:rFonts w:hint="eastAsia" w:ascii="仿宋" w:hAnsi="仿宋" w:eastAsia="仿宋" w:cs="仿宋"/>
                <w:b/>
                <w:bCs/>
                <w:color w:val="auto"/>
                <w:spacing w:val="2"/>
                <w:sz w:val="24"/>
                <w:szCs w:val="24"/>
                <w:shd w:val="clear" w:color="auto" w:fill="auto"/>
                <w:lang w:eastAsia="zh-CN"/>
              </w:rPr>
              <w:t>类区</w:t>
            </w:r>
          </w:p>
        </w:tc>
        <w:tc>
          <w:tcPr>
            <w:tcW w:w="1098" w:type="pc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2"/>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2"/>
                <w:sz w:val="24"/>
                <w:szCs w:val="24"/>
                <w:shd w:val="clear" w:color="auto" w:fill="auto"/>
              </w:rPr>
            </w:pPr>
            <w:r>
              <w:rPr>
                <w:rFonts w:hint="eastAsia" w:ascii="仿宋" w:hAnsi="仿宋" w:eastAsia="仿宋" w:cs="仿宋"/>
                <w:b/>
                <w:bCs/>
                <w:color w:val="auto"/>
                <w:spacing w:val="2"/>
                <w:sz w:val="24"/>
                <w:szCs w:val="24"/>
                <w:shd w:val="clear" w:color="auto" w:fill="auto"/>
              </w:rPr>
              <w:t>旧区</w:t>
            </w:r>
          </w:p>
        </w:tc>
        <w:tc>
          <w:tcPr>
            <w:tcW w:w="1191" w:type="pc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2"/>
                <w:sz w:val="24"/>
                <w:szCs w:val="24"/>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spacing w:val="2"/>
                <w:sz w:val="24"/>
                <w:szCs w:val="24"/>
                <w:shd w:val="clear" w:color="auto" w:fill="auto"/>
              </w:rPr>
            </w:pPr>
            <w:r>
              <w:rPr>
                <w:rFonts w:hint="eastAsia" w:ascii="仿宋" w:hAnsi="仿宋" w:eastAsia="仿宋" w:cs="仿宋"/>
                <w:b/>
                <w:bCs/>
                <w:color w:val="auto"/>
                <w:spacing w:val="2"/>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36" w:type="pct"/>
            <w:vMerge w:val="restart"/>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0～45°</w:t>
            </w:r>
          </w:p>
        </w:tc>
        <w:tc>
          <w:tcPr>
            <w:tcW w:w="1773" w:type="pct"/>
            <w:tcBorders>
              <w:lef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H&lt;50米</w:t>
            </w:r>
          </w:p>
        </w:tc>
        <w:tc>
          <w:tcPr>
            <w:tcW w:w="1098"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22+0.2H</w:t>
            </w:r>
          </w:p>
        </w:tc>
        <w:tc>
          <w:tcPr>
            <w:tcW w:w="1191"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lang w:val="en-US" w:eastAsia="zh-CN"/>
              </w:rPr>
              <w:t>24+0.2H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936" w:type="pct"/>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p>
        </w:tc>
        <w:tc>
          <w:tcPr>
            <w:tcW w:w="1773" w:type="pct"/>
            <w:tcBorders>
              <w:lef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H≥</w:t>
            </w:r>
            <w:r>
              <w:rPr>
                <w:rFonts w:hint="eastAsia" w:ascii="仿宋" w:hAnsi="仿宋" w:eastAsia="仿宋" w:cs="仿宋"/>
                <w:color w:val="auto"/>
                <w:spacing w:val="2"/>
                <w:sz w:val="24"/>
                <w:szCs w:val="24"/>
                <w:shd w:val="clear" w:color="auto" w:fill="auto"/>
                <w:lang w:val="en-US" w:eastAsia="zh-CN"/>
              </w:rPr>
              <w:t>50米</w:t>
            </w:r>
          </w:p>
        </w:tc>
        <w:tc>
          <w:tcPr>
            <w:tcW w:w="1098"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lang w:val="en-US" w:eastAsia="zh-CN"/>
              </w:rPr>
              <w:t>27+0.1H</w:t>
            </w:r>
          </w:p>
        </w:tc>
        <w:tc>
          <w:tcPr>
            <w:tcW w:w="1191"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lang w:val="en-US" w:eastAsia="zh-CN"/>
              </w:rPr>
              <w:t>29+0.1H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936" w:type="pct"/>
            <w:vMerge w:val="restart"/>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&gt;45°</w:t>
            </w:r>
          </w:p>
        </w:tc>
        <w:tc>
          <w:tcPr>
            <w:tcW w:w="1773" w:type="pct"/>
            <w:tcBorders>
              <w:lef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lang w:val="en-US" w:eastAsia="zh-CN"/>
              </w:rPr>
              <w:t>H&lt;50米</w:t>
            </w:r>
          </w:p>
        </w:tc>
        <w:tc>
          <w:tcPr>
            <w:tcW w:w="1098"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kern w:val="2"/>
                <w:sz w:val="24"/>
                <w:szCs w:val="24"/>
                <w:shd w:val="clear" w:color="auto" w:fill="auto"/>
                <w:lang w:val="en-US" w:eastAsia="zh-CN" w:bidi="ar-SA"/>
              </w:rPr>
            </w:pPr>
            <w:r>
              <w:rPr>
                <w:rFonts w:hint="eastAsia" w:ascii="仿宋" w:hAnsi="仿宋" w:eastAsia="仿宋" w:cs="仿宋"/>
                <w:color w:val="auto"/>
                <w:spacing w:val="2"/>
                <w:sz w:val="24"/>
                <w:szCs w:val="24"/>
                <w:shd w:val="clear" w:color="auto" w:fill="auto"/>
                <w:lang w:val="en-US" w:eastAsia="zh-CN"/>
              </w:rPr>
              <w:t>16+0.1H</w:t>
            </w:r>
          </w:p>
        </w:tc>
        <w:tc>
          <w:tcPr>
            <w:tcW w:w="1191"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kern w:val="2"/>
                <w:sz w:val="24"/>
                <w:szCs w:val="24"/>
                <w:shd w:val="clear" w:color="auto" w:fill="auto"/>
                <w:lang w:val="en-US" w:eastAsia="zh-CN" w:bidi="ar-SA"/>
              </w:rPr>
            </w:pPr>
            <w:r>
              <w:rPr>
                <w:rFonts w:hint="eastAsia" w:ascii="仿宋" w:hAnsi="仿宋" w:eastAsia="仿宋" w:cs="仿宋"/>
                <w:color w:val="auto"/>
                <w:spacing w:val="2"/>
                <w:sz w:val="24"/>
                <w:szCs w:val="24"/>
                <w:shd w:val="clear" w:color="auto" w:fill="auto"/>
                <w:lang w:val="en-US" w:eastAsia="zh-CN"/>
              </w:rPr>
              <w:t>22+0.1H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936" w:type="pct"/>
            <w:vMerge w:val="continue"/>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rPr>
            </w:pPr>
          </w:p>
        </w:tc>
        <w:tc>
          <w:tcPr>
            <w:tcW w:w="1773" w:type="pct"/>
            <w:tcBorders>
              <w:lef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sz w:val="24"/>
                <w:szCs w:val="24"/>
                <w:shd w:val="clear" w:color="auto" w:fill="auto"/>
              </w:rPr>
            </w:pPr>
            <w:r>
              <w:rPr>
                <w:rFonts w:hint="eastAsia" w:ascii="仿宋" w:hAnsi="仿宋" w:eastAsia="仿宋" w:cs="仿宋"/>
                <w:color w:val="auto"/>
                <w:spacing w:val="2"/>
                <w:sz w:val="24"/>
                <w:szCs w:val="24"/>
                <w:shd w:val="clear" w:color="auto" w:fill="auto"/>
              </w:rPr>
              <w:t>H≥</w:t>
            </w:r>
            <w:r>
              <w:rPr>
                <w:rFonts w:hint="eastAsia" w:ascii="仿宋" w:hAnsi="仿宋" w:eastAsia="仿宋" w:cs="仿宋"/>
                <w:color w:val="auto"/>
                <w:spacing w:val="2"/>
                <w:sz w:val="24"/>
                <w:szCs w:val="24"/>
                <w:shd w:val="clear" w:color="auto" w:fill="auto"/>
                <w:lang w:val="en-US" w:eastAsia="zh-CN"/>
              </w:rPr>
              <w:t>50米</w:t>
            </w:r>
          </w:p>
        </w:tc>
        <w:tc>
          <w:tcPr>
            <w:tcW w:w="1098"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kern w:val="2"/>
                <w:sz w:val="24"/>
                <w:szCs w:val="24"/>
                <w:shd w:val="clear" w:color="auto" w:fill="auto"/>
                <w:lang w:val="en-US" w:eastAsia="zh-CN" w:bidi="ar-SA"/>
              </w:rPr>
            </w:pPr>
            <w:r>
              <w:rPr>
                <w:rFonts w:hint="eastAsia" w:ascii="仿宋" w:hAnsi="仿宋" w:eastAsia="仿宋" w:cs="仿宋"/>
                <w:color w:val="auto"/>
                <w:spacing w:val="2"/>
                <w:sz w:val="24"/>
                <w:szCs w:val="24"/>
                <w:shd w:val="clear" w:color="auto" w:fill="auto"/>
                <w:lang w:val="en-US" w:eastAsia="zh-CN"/>
              </w:rPr>
              <w:t>19+0.05H</w:t>
            </w:r>
          </w:p>
        </w:tc>
        <w:tc>
          <w:tcPr>
            <w:tcW w:w="1191" w:type="pct"/>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kern w:val="2"/>
                <w:sz w:val="24"/>
                <w:szCs w:val="24"/>
                <w:shd w:val="clear" w:color="auto" w:fill="auto"/>
                <w:lang w:val="en-US" w:eastAsia="zh-CN" w:bidi="ar-SA"/>
              </w:rPr>
            </w:pPr>
            <w:r>
              <w:rPr>
                <w:rFonts w:hint="eastAsia" w:ascii="仿宋" w:hAnsi="仿宋" w:eastAsia="仿宋" w:cs="仿宋"/>
                <w:color w:val="auto"/>
                <w:spacing w:val="2"/>
                <w:sz w:val="24"/>
                <w:szCs w:val="24"/>
                <w:shd w:val="clear" w:color="auto" w:fill="auto"/>
                <w:lang w:val="en-US" w:eastAsia="zh-CN"/>
              </w:rPr>
              <w:t>25+0.05H</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注：1.表中方位为正南向（0°）偏东（西）的方位角；方位以被遮挡建筑的方位角为准。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2.H：建筑高度，当方位角≤45°时为南向建筑高度；当方位角&gt;45°时为相邻较高建筑高度。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3.超高层建筑的间距，根据规划要求及实际情况由各市县自然资源主管部门确定。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 w:hAnsi="仿宋" w:eastAsia="仿宋" w:cs="仿宋"/>
          <w:color w:val="auto"/>
          <w:sz w:val="21"/>
          <w:szCs w:val="21"/>
          <w:shd w:val="clear" w:color="auto" w:fill="auto"/>
          <w:lang w:val="en-US" w:eastAsia="zh-CN"/>
        </w:rPr>
        <w:t>4.住宅建筑之间存在相互遮挡的，应分别计算最小间距，并按照其中较大的值确定其最小间距。</w:t>
      </w:r>
      <w:r>
        <w:rPr>
          <w:rFonts w:hint="eastAsia" w:ascii="仿宋_GB2312" w:hAnsi="仿宋_GB2312" w:eastAsia="仿宋_GB2312" w:cs="仿宋_GB2312"/>
          <w:color w:val="auto"/>
          <w:sz w:val="24"/>
          <w:szCs w:val="24"/>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2、高层居住建筑与高层居住建筑垂直布置时，其建筑间距按0.6S（S为高层建筑平行布置时的标准间距）进行控制，并不得小于13米。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3、高层居住建筑与高层居住建筑既非平行也非垂直布置时，间距应符合表3.6的要求： </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 3.6 高层居住建筑非垂直非平行布置间距</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15"/>
        <w:gridCol w:w="3006"/>
        <w:gridCol w:w="2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875" w:type="pct"/>
            <w:vAlign w:val="center"/>
            <mc:AlternateContent>
              <mc:Choice Requires="wpsCustomData">
                <wpsCustomData:diagonals>
                  <wpsCustomData:diagonal from="30000" to="8900">
                    <wpsCustomData:border w:val="single" w:color="000000" w:sz="4" w:space="0"/>
                  </wpsCustomData:diagonal>
                  <wpsCustomData:diagonal from="30000" to="153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仿宋" w:hAnsi="仿宋" w:eastAsia="仿宋" w:cs="仿宋"/>
                <w:b/>
                <w:bCs/>
                <w:color w:val="auto"/>
                <w:spacing w:val="4"/>
                <w:sz w:val="24"/>
                <w:szCs w:val="24"/>
                <w:shd w:val="clear" w:color="auto" w:fill="auto"/>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4"/>
                <w:sz w:val="24"/>
                <w:szCs w:val="24"/>
                <w:shd w:val="clear" w:color="auto" w:fill="auto"/>
                <w:lang w:eastAsia="zh-CN"/>
              </w:rPr>
              <w:t>夹角</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间距</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类区</w:t>
            </w:r>
          </w:p>
        </w:tc>
        <w:tc>
          <w:tcPr>
            <w:tcW w:w="1650"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18"/>
                <w:sz w:val="24"/>
                <w:szCs w:val="24"/>
                <w:shd w:val="clear" w:color="auto" w:fill="auto"/>
              </w:rPr>
              <w:t>旧区</w:t>
            </w:r>
          </w:p>
        </w:tc>
        <w:tc>
          <w:tcPr>
            <w:tcW w:w="1473" w:type="pc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5"/>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87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α≤30°</w:t>
            </w:r>
          </w:p>
        </w:tc>
        <w:tc>
          <w:tcPr>
            <w:tcW w:w="3124"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按高层居住建筑与其他居住建筑平行布置时的间距控制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87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30°&lt;α&lt;60°</w:t>
            </w:r>
          </w:p>
        </w:tc>
        <w:tc>
          <w:tcPr>
            <w:tcW w:w="1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0.7S</w:t>
            </w:r>
          </w:p>
        </w:tc>
        <w:tc>
          <w:tcPr>
            <w:tcW w:w="14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0.8S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87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α≥60°</w:t>
            </w:r>
          </w:p>
        </w:tc>
        <w:tc>
          <w:tcPr>
            <w:tcW w:w="1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0.6S</w:t>
            </w:r>
          </w:p>
        </w:tc>
        <w:tc>
          <w:tcPr>
            <w:tcW w:w="14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0.7S</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注：1.“S”为南北向平行布置时的标准间距值。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2.表中α指两栋居住建筑之夹角；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3.当a≤30°时，正南北向最近点间距在旧区、新区分别不得小于21米、24米。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当30°&lt;a&lt;60°时，正南北向最近点间距在旧区、新区分别不得小于18米、21米。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 w:hAnsi="仿宋" w:eastAsia="仿宋" w:cs="仿宋"/>
          <w:color w:val="auto"/>
          <w:sz w:val="21"/>
          <w:szCs w:val="21"/>
          <w:shd w:val="clear" w:color="auto" w:fill="auto"/>
          <w:lang w:val="en-US" w:eastAsia="zh-CN"/>
        </w:rPr>
        <w:t>当a≥60°时，正南北向最近点间距在旧区、新区分别不得小于15米、18米。</w:t>
      </w:r>
      <w:r>
        <w:rPr>
          <w:rFonts w:hint="eastAsia" w:ascii="仿宋_GB2312" w:hAnsi="仿宋_GB2312" w:eastAsia="仿宋_GB2312" w:cs="仿宋_GB2312"/>
          <w:color w:val="auto"/>
          <w:sz w:val="24"/>
          <w:szCs w:val="24"/>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80" w:firstLineChars="200"/>
        <w:textAlignment w:val="auto"/>
        <w:rPr>
          <w:rFonts w:hint="eastAsia" w:ascii="仿宋_GB2312" w:hAnsi="仿宋_GB2312" w:eastAsia="仿宋_GB2312" w:cs="仿宋_GB2312"/>
          <w:color w:val="auto"/>
          <w:sz w:val="24"/>
          <w:szCs w:val="24"/>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4、</w:t>
      </w:r>
      <w:r>
        <w:rPr>
          <w:rFonts w:hint="eastAsia" w:ascii="仿宋" w:hAnsi="仿宋" w:eastAsia="仿宋" w:cs="仿宋"/>
          <w:color w:val="auto"/>
          <w:sz w:val="30"/>
          <w:szCs w:val="30"/>
          <w:shd w:val="clear" w:color="auto" w:fill="auto"/>
          <w:lang w:val="en-US" w:eastAsia="zh-CN"/>
        </w:rPr>
        <w:t>高层居住建筑与高层居住建筑的山墙间距，按消防间距的规定控制，但山墙有居室窗户的，其间距不小于15米。住宅建筑山墙非平行布置时，以其最窄处控制山墙间距。</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b w:val="0"/>
          <w:bCs w:val="0"/>
          <w:color w:val="auto"/>
          <w:sz w:val="30"/>
          <w:szCs w:val="30"/>
          <w:shd w:val="clear" w:color="auto" w:fill="auto"/>
          <w:lang w:val="en-US" w:eastAsia="zh-CN"/>
        </w:rPr>
      </w:pPr>
      <w:r>
        <w:rPr>
          <w:rFonts w:hint="eastAsia" w:ascii="仿宋" w:hAnsi="仿宋" w:eastAsia="仿宋" w:cs="仿宋"/>
          <w:b w:val="0"/>
          <w:bCs w:val="0"/>
          <w:color w:val="auto"/>
          <w:sz w:val="30"/>
          <w:szCs w:val="30"/>
          <w:shd w:val="clear" w:color="auto" w:fill="auto"/>
          <w:lang w:val="en-US" w:eastAsia="zh-CN"/>
        </w:rPr>
        <w:t>高层居住建筑与低、多、中高层居住建筑之间间距</w:t>
      </w:r>
      <w:r>
        <w:rPr>
          <w:rFonts w:hint="eastAsia" w:ascii="仿宋_GB2312" w:hAnsi="仿宋_GB2312" w:eastAsia="仿宋_GB2312" w:cs="仿宋_GB2312"/>
          <w:b w:val="0"/>
          <w:bCs w:val="0"/>
          <w:color w:val="auto"/>
          <w:sz w:val="30"/>
          <w:szCs w:val="30"/>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1、高层居住建筑与其北向范围的低、多、中高层居住建筑的间距，按表3.5的规定控制；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高层居住建筑与其南向范围的低、多、中高层居住建筑的间距，按表3.1的相关规定控制，其最小值为13米。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两幢建筑互为遮挡建筑时，分别计算间距，取较大值。</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2、高层居住建筑与低、多、中高层居住建筑垂直布置时按表3.7</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要求进行控制，同时，最小间距不得小于13米： </w:t>
      </w:r>
    </w:p>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 3.7 高层居住建筑与低、多、中高层居住建筑垂直布置间距</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16"/>
        <w:gridCol w:w="3006"/>
        <w:gridCol w:w="2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1875" w:type="pct"/>
            <w:vAlign w:val="center"/>
            <mc:AlternateContent>
              <mc:Choice Requires="wpsCustomData">
                <wpsCustomData:diagonals>
                  <wpsCustomData:diagonal from="30000" to="8900">
                    <wpsCustomData:border w:val="single" w:color="000000" w:sz="4" w:space="0"/>
                  </wpsCustomData:diagonal>
                  <wpsCustomData:diagonal from="30000" to="15300">
                    <wpsCustomData:border w:val="single" w:color="000000" w:sz="4" w:space="0"/>
                  </wpsCustomData:diagonal>
                </wpsCustomData:diagonals>
              </mc:Choice>
            </mc:AlternateContent>
          </w:tcPr>
          <w:p>
            <w:pPr>
              <w:keepNext w:val="0"/>
              <w:keepLines w:val="0"/>
              <w:pageBreakBefore w:val="0"/>
              <w:kinsoku/>
              <w:wordWrap/>
              <w:overflowPunct/>
              <w:topLinePunct w:val="0"/>
              <w:autoSpaceDE/>
              <w:autoSpaceDN/>
              <w:bidi w:val="0"/>
              <w:adjustRightInd/>
              <w:snapToGrid w:val="0"/>
              <w:spacing w:line="240" w:lineRule="auto"/>
              <w:ind w:left="0" w:firstLine="0" w:firstLineChars="0"/>
              <w:jc w:val="center"/>
              <w:textAlignment w:val="auto"/>
              <w:rPr>
                <w:rFonts w:hint="eastAsia" w:ascii="仿宋" w:hAnsi="仿宋" w:eastAsia="仿宋" w:cs="仿宋"/>
                <w:b/>
                <w:bCs/>
                <w:color w:val="auto"/>
                <w:spacing w:val="4"/>
                <w:sz w:val="24"/>
                <w:szCs w:val="24"/>
                <w:shd w:val="clear" w:color="auto" w:fill="auto"/>
              </w:rPr>
            </w:pPr>
          </w:p>
          <w:p>
            <w:pPr>
              <w:keepNext w:val="0"/>
              <w:keepLines w:val="0"/>
              <w:pageBreakBefore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4"/>
                <w:sz w:val="24"/>
                <w:szCs w:val="24"/>
                <w:shd w:val="clear" w:color="auto" w:fill="auto"/>
                <w:lang w:eastAsia="zh-CN"/>
              </w:rPr>
              <w:t>夹角</w:t>
            </w:r>
          </w:p>
          <w:p>
            <w:pPr>
              <w:keepNext w:val="0"/>
              <w:keepLines w:val="0"/>
              <w:pageBreakBefore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间距</w:t>
            </w:r>
          </w:p>
          <w:p>
            <w:pPr>
              <w:keepNext w:val="0"/>
              <w:keepLines w:val="0"/>
              <w:pageBreakBefore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间距类区</w:t>
            </w:r>
          </w:p>
        </w:tc>
        <w:tc>
          <w:tcPr>
            <w:tcW w:w="1650" w:type="pct"/>
            <w:tcBorders>
              <w:bottom w:val="nil"/>
            </w:tcBorders>
            <w:vAlign w:val="center"/>
          </w:tcPr>
          <w:p>
            <w:pPr>
              <w:keepNext w:val="0"/>
              <w:keepLines w:val="0"/>
              <w:pageBreakBefore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p>
          <w:p>
            <w:pPr>
              <w:keepNext w:val="0"/>
              <w:keepLines w:val="0"/>
              <w:pageBreakBefore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18"/>
                <w:sz w:val="24"/>
                <w:szCs w:val="24"/>
                <w:shd w:val="clear" w:color="auto" w:fill="auto"/>
              </w:rPr>
              <w:t>旧区</w:t>
            </w:r>
          </w:p>
        </w:tc>
        <w:tc>
          <w:tcPr>
            <w:tcW w:w="1473" w:type="pct"/>
            <w:tcBorders>
              <w:bottom w:val="nil"/>
            </w:tcBorders>
            <w:vAlign w:val="center"/>
          </w:tcPr>
          <w:p>
            <w:pPr>
              <w:keepNext w:val="0"/>
              <w:keepLines w:val="0"/>
              <w:pageBreakBefore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p>
          <w:p>
            <w:pPr>
              <w:keepNext w:val="0"/>
              <w:keepLines w:val="0"/>
              <w:pageBreakBefore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pacing w:val="-5"/>
                <w:sz w:val="24"/>
                <w:szCs w:val="24"/>
                <w:shd w:val="clear" w:color="auto" w:fill="auto"/>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875" w:type="pct"/>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b/>
                <w:bCs/>
                <w:color w:val="auto"/>
                <w:kern w:val="0"/>
                <w:sz w:val="24"/>
                <w:szCs w:val="24"/>
                <w:shd w:val="clear" w:color="auto" w:fill="auto"/>
                <w:lang w:val="en-US" w:eastAsia="zh-CN" w:bidi="ar"/>
              </w:rPr>
              <w:t>南侧为高层居住建筑</w:t>
            </w:r>
          </w:p>
        </w:tc>
        <w:tc>
          <w:tcPr>
            <w:tcW w:w="1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kern w:val="2"/>
                <w:sz w:val="24"/>
                <w:szCs w:val="24"/>
                <w:shd w:val="clear" w:color="auto" w:fill="auto"/>
                <w:lang w:val="en-US" w:eastAsia="zh-CN" w:bidi="ar-SA"/>
              </w:rPr>
            </w:pPr>
            <w:r>
              <w:rPr>
                <w:rFonts w:hint="eastAsia" w:ascii="仿宋" w:hAnsi="仿宋" w:eastAsia="仿宋" w:cs="仿宋"/>
                <w:color w:val="auto"/>
                <w:spacing w:val="2"/>
                <w:sz w:val="24"/>
                <w:szCs w:val="24"/>
                <w:shd w:val="clear" w:color="auto" w:fill="auto"/>
                <w:lang w:val="en-US" w:eastAsia="zh-CN"/>
              </w:rPr>
              <w:t>0.6S</w:t>
            </w:r>
          </w:p>
        </w:tc>
        <w:tc>
          <w:tcPr>
            <w:tcW w:w="14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pacing w:val="2"/>
                <w:kern w:val="2"/>
                <w:sz w:val="24"/>
                <w:szCs w:val="24"/>
                <w:shd w:val="clear" w:color="auto" w:fill="auto"/>
                <w:lang w:val="en-US" w:eastAsia="zh-CN" w:bidi="ar-SA"/>
              </w:rPr>
            </w:pPr>
            <w:r>
              <w:rPr>
                <w:rFonts w:hint="eastAsia" w:ascii="仿宋" w:hAnsi="仿宋" w:eastAsia="仿宋" w:cs="仿宋"/>
                <w:color w:val="auto"/>
                <w:spacing w:val="2"/>
                <w:sz w:val="24"/>
                <w:szCs w:val="24"/>
                <w:shd w:val="clear" w:color="auto" w:fill="auto"/>
                <w:lang w:val="en-US" w:eastAsia="zh-CN"/>
              </w:rPr>
              <w:t>0.7S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875" w:type="pct"/>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b/>
                <w:bCs/>
                <w:color w:val="auto"/>
                <w:kern w:val="0"/>
                <w:sz w:val="24"/>
                <w:szCs w:val="24"/>
                <w:shd w:val="clear" w:color="auto" w:fill="auto"/>
                <w:lang w:val="en-US" w:eastAsia="zh-CN" w:bidi="ar"/>
              </w:rPr>
              <w:t>南侧为低、多、中高层居住建筑</w:t>
            </w:r>
          </w:p>
        </w:tc>
        <w:tc>
          <w:tcPr>
            <w:tcW w:w="165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0.7S</w:t>
            </w:r>
          </w:p>
        </w:tc>
        <w:tc>
          <w:tcPr>
            <w:tcW w:w="147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pacing w:val="2"/>
                <w:sz w:val="24"/>
                <w:szCs w:val="24"/>
                <w:shd w:val="clear" w:color="auto" w:fill="auto"/>
                <w:lang w:val="en-US" w:eastAsia="zh-CN"/>
              </w:rPr>
            </w:pPr>
            <w:r>
              <w:rPr>
                <w:rFonts w:hint="eastAsia" w:ascii="仿宋" w:hAnsi="仿宋" w:eastAsia="仿宋" w:cs="仿宋"/>
                <w:color w:val="auto"/>
                <w:spacing w:val="2"/>
                <w:sz w:val="24"/>
                <w:szCs w:val="24"/>
                <w:shd w:val="clear" w:color="auto" w:fill="auto"/>
                <w:lang w:val="en-US" w:eastAsia="zh-CN"/>
              </w:rPr>
              <w:t>0.8S</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注：1、“S”为南北向平行布置时的标准间距值。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200" w:right="0" w:rightChars="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2.以相对面为正面的建筑定向，垂直布置的建筑山墙长≥16米时，其间距按平行布置进行控制。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200" w:right="0" w:rightChars="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3、高层居住建筑与低、多、中高层建筑居住建筑既非平行也非垂直布置时：当低、多、中高层建筑位于南侧时，按表3.3的要求进行控制，同时最小间距不得小于13米；当高层建筑位于南侧时，按表3.6的要求进行控制。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4、高层居住建筑与低、多、中高层居住建筑的山墙间距，按消防间距的规定控制，但山墙有居室窗户的，其间距不小于13米。住宅建筑山墙非平行布置时，以其最窄处控制山墙间距。 </w:t>
      </w:r>
    </w:p>
    <w:p>
      <w:pPr>
        <w:pStyle w:val="11"/>
        <w:keepNext w:val="0"/>
        <w:keepLines w:val="0"/>
        <w:pageBreakBefore w:val="0"/>
        <w:widowControl/>
        <w:numPr>
          <w:ilvl w:val="1"/>
          <w:numId w:val="4"/>
        </w:numPr>
        <w:suppressLineNumbers w:val="0"/>
        <w:shd w:val="clear" w:fill="FFFFFF"/>
        <w:kinsoku/>
        <w:wordWrap/>
        <w:overflowPunct/>
        <w:topLinePunct w:val="0"/>
        <w:autoSpaceDE/>
        <w:bidi w:val="0"/>
        <w:spacing w:before="0" w:beforeAutospacing="0" w:after="0" w:afterAutospacing="0" w:line="360" w:lineRule="auto"/>
        <w:ind w:left="30" w:leftChars="0" w:right="0" w:firstLine="600" w:firstLineChars="200"/>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位于不同台地上的建筑间距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1、较低台地上的建筑整体位于较高台地以下，在满足日照、通风、退让和工程管线（沟）埋设等一般规范的情况下，建筑间距不作规定要求，台地高差亦可不纳入间距计算，但最小间距不得小于6米。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2、较低台地上的建筑有局部高出较高台地，高出部分的间距按一般建筑间距规定执行，低出部分按照上条规定执行。</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方正仿宋_GB2312" w:hAnsi="方正仿宋_GB2312" w:eastAsia="方正仿宋_GB2312" w:cs="方正仿宋_GB2312"/>
          <w:color w:val="auto"/>
          <w:sz w:val="30"/>
          <w:szCs w:val="30"/>
          <w:shd w:val="clear" w:color="auto" w:fill="auto"/>
          <w:lang w:val="en-US" w:eastAsia="zh-CN"/>
        </w:rPr>
      </w:pPr>
      <w:r>
        <w:rPr>
          <w:rFonts w:hint="eastAsia" w:ascii="方正仿宋_GB2312" w:hAnsi="方正仿宋_GB2312" w:eastAsia="方正仿宋_GB2312" w:cs="方正仿宋_GB2312"/>
          <w:color w:val="auto"/>
          <w:sz w:val="30"/>
          <w:szCs w:val="30"/>
          <w:shd w:val="clear" w:color="auto" w:fill="auto"/>
          <w:lang w:val="en-US" w:eastAsia="zh-CN"/>
        </w:rPr>
        <w:t>非居住建筑与居住建筑之间间距</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非居住建筑与居住建筑的间距，应当符合下列规定：</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1、非居住建筑位于居住建筑南向或东西向的，其间距按居住建筑建筑间距的相关规定控制；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非居住建筑（医疗、疗养、幼托、教学用房除外）位于居住建筑北向的，其建筑间距最小可按南向同型布置方式的居住建筑间距要求的80%控制，其间距最小值为低层不小于6米，多层不小于9米，高层不小于13米，且必须满足消防和各专业规范要求。</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3、非居住建筑与居住建筑的山墙间距必须满足消防间距的规定，居住建筑山墙有居室窗户的，其山墙间距按第二十二条及第二十三条的有关规定控制。</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非居住</w:t>
      </w:r>
      <w:r>
        <w:rPr>
          <w:rFonts w:hint="eastAsia" w:ascii="仿宋_GB2312" w:hAnsi="仿宋_GB2312" w:eastAsia="仿宋_GB2312" w:cs="仿宋_GB2312"/>
          <w:color w:val="auto"/>
          <w:sz w:val="30"/>
          <w:szCs w:val="30"/>
          <w:shd w:val="clear" w:color="auto" w:fill="auto"/>
          <w:lang w:val="en-US" w:eastAsia="zh-CN"/>
        </w:rPr>
        <w:t>建筑</w:t>
      </w:r>
      <w:r>
        <w:rPr>
          <w:rFonts w:hint="eastAsia" w:ascii="仿宋" w:hAnsi="仿宋" w:eastAsia="仿宋" w:cs="仿宋"/>
          <w:color w:val="auto"/>
          <w:kern w:val="0"/>
          <w:sz w:val="30"/>
          <w:szCs w:val="30"/>
          <w:shd w:val="clear" w:color="auto" w:fill="auto"/>
          <w:lang w:val="en-US" w:eastAsia="zh-CN" w:bidi="ar"/>
        </w:rPr>
        <w:t>之间间距</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非居住建筑的之间的间距，除满足第二十八条规定之外，还需满足《建筑设计防火规范》GB 50016—2014 （2018年版）的要求。</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方正仿宋_GB2312" w:hAnsi="方正仿宋_GB2312" w:eastAsia="方正仿宋_GB2312" w:cs="方正仿宋_GB2312"/>
          <w:color w:val="auto"/>
          <w:sz w:val="30"/>
          <w:szCs w:val="30"/>
          <w:shd w:val="clear" w:color="auto" w:fill="auto"/>
          <w:lang w:val="en-US" w:eastAsia="zh-CN"/>
        </w:rPr>
        <w:t>工业仓储建筑之间间距</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 xml:space="preserve">工业建筑、仓储建筑之间的建筑间距按相关的消防、安全间距控制。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方正仿宋_GB2312" w:hAnsi="方正仿宋_GB2312" w:eastAsia="方正仿宋_GB2312" w:cs="方正仿宋_GB2312"/>
          <w:color w:val="auto"/>
          <w:sz w:val="30"/>
          <w:szCs w:val="30"/>
          <w:shd w:val="clear" w:color="auto" w:fill="auto"/>
          <w:lang w:val="en-US" w:eastAsia="zh-CN"/>
        </w:rPr>
      </w:pPr>
      <w:r>
        <w:rPr>
          <w:rFonts w:hint="eastAsia" w:ascii="方正仿宋_GB2312" w:hAnsi="方正仿宋_GB2312" w:eastAsia="方正仿宋_GB2312" w:cs="方正仿宋_GB2312"/>
          <w:color w:val="auto"/>
          <w:sz w:val="30"/>
          <w:szCs w:val="30"/>
          <w:shd w:val="clear" w:color="auto" w:fill="auto"/>
          <w:lang w:val="en-US" w:eastAsia="zh-CN"/>
        </w:rPr>
        <w:t xml:space="preserve">医疗幼托教学建筑之间间距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医院病房楼、休（疗）养院住宿楼以及幼儿园、托儿所生活用房和大、中、小学教学楼与相邻建筑的间距，须在同型布置方式居住建筑的间距要求上提高 20%，同时须满足各专业规范要求。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各县（市）历史街区、历史地段等特定区域的建筑间距要求由自然资源主管部门另行核定。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在各县（市）旧区范围内进行建设，建筑物的最小间距按本规定执行确有困难时，在满足消防、交通、日照、安全和环保等方面及国家相关规范要求的前提下，经专家审查会通过后，报自然资源主管部门核准，可在</w:t>
      </w:r>
      <w:r>
        <w:rPr>
          <w:rFonts w:hint="eastAsia" w:ascii="仿宋" w:hAnsi="仿宋" w:eastAsia="仿宋" w:cs="仿宋"/>
          <w:color w:val="auto"/>
          <w:sz w:val="30"/>
          <w:szCs w:val="30"/>
          <w:shd w:val="clear" w:color="auto" w:fill="auto"/>
          <w:lang w:val="en-US" w:eastAsia="zh-CN"/>
        </w:rPr>
        <w:t>本规定的最小间距基础上适当折减，但其最大减幅不宜超过10%。</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13" w:name="_Toc16941"/>
      <w:r>
        <w:rPr>
          <w:rFonts w:hint="eastAsia"/>
          <w:b w:val="0"/>
          <w:bCs/>
          <w:color w:val="auto"/>
          <w:shd w:val="clear" w:color="auto" w:fill="auto"/>
          <w:lang w:val="en-US" w:eastAsia="zh-CN"/>
        </w:rPr>
        <w:t>第二节  建筑日照</w:t>
      </w:r>
      <w:bookmarkEnd w:id="13"/>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日照标准原则是根据建筑物的使用性质，在规定的日照标准日（大寒日或冬至日）的有效时间范围内，以建筑底层外墙窗台面（按室内地坪以上0.9米高计算）的位置为计算起点的建筑外窗获得的日照时间。</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建筑日照计算应符合国家及湖南省相关规范要求，建筑日照分析应采用经国家认可的日照分析软件。</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日照分析对象</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zh-CN"/>
        </w:rPr>
        <w:t xml:space="preserve">住宅建筑、养老设施建筑、集体宿舍、大学和中小学学生宿舍、中小学教学楼的普通教室、幼儿园和托儿所的生活活动用房及室外活动场地、医院住院楼的病房、休（疗）养院寝室等必须编制《日照影响分析报告》。其它建设项目可能对上述所列项目产生日照影响的，也必须编制《日照影响分析报告》。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2、城市历史文化街区和风貌保护区内住宅建筑的日照控制要求由城市人民政府自然资源主管部门另行规定。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日照时间</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zh-CN"/>
        </w:rPr>
        <w:t>住宅建筑（指套型住宅，下同）中的每套住宅至少应有一个居室的大寒日有效日照时间不低于3小时，其中居室系指客厅和卧室（含书房等）。</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2、复式住宅（含跃层式住宅）、城乡个人住宅（含独栋住宅、联排住宅、低多层安置房等，待改造地段的低层个人住宅除外）每套至少应有一个居室的大寒日有效日照时间不低于2小时。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eastAsia="zh-CN"/>
        </w:rPr>
        <w:t>在日照分析范围内应参与日照分析的建筑，当其本身原已不满足日照标准时，按不低于该建筑原有日照时间进行控制。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4、老年人居住建筑的居室冬至日满窗日照不低于2小时。</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5、托儿所、幼儿园生活活动用房冬至日底层满窗日照不低于3小时，室外活动场地应保证有一半以上的活动场地面积冬至日日照不少于连续2小时。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6、中小学半数以上的教室冬至日底层满窗日照不低于2小时，宿舍半数以上的居室，应能获得与住宅建筑相同的日照标准。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7、</w:t>
      </w:r>
      <w:r>
        <w:rPr>
          <w:rFonts w:hint="eastAsia" w:ascii="仿宋" w:hAnsi="仿宋" w:eastAsia="仿宋" w:cs="仿宋"/>
          <w:color w:val="auto"/>
          <w:sz w:val="30"/>
          <w:szCs w:val="30"/>
          <w:shd w:val="clear" w:color="auto" w:fill="auto"/>
          <w:lang w:val="en-US" w:eastAsia="zh-CN"/>
        </w:rPr>
        <w:t>旧区改建、棚户区改造等建设项目的居住建筑日照标准可酌情降低，但应满足大寒日不低于2小时的满窗日照标准。</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8、本规定中未涉及的其他有日照要求的建筑日照分析标准应参照国家标准执行。</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9、有日照要求的项目需编制出具真实可靠的日照影响分析报告。</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日照分析基本原则</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zh-CN"/>
        </w:rPr>
        <w:t>拟建高层建筑原则上不得将相邻已建、在建和拟建有日照要求的建筑的日照降低到其日照标准以下或恶化已低于日照标准的建筑的日照。</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2、在建筑遮挡分析范围内的拟建、在建和已建的有日照要求的建筑均应作为被遮挡建筑纳入日照分析范围，其中，已建的多层建筑和已建、在建及拟建的高层建筑还应作为遮挡建筑进行日照叠加分析。</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3、在建筑被遮挡分析范围内，高层建筑均应作为遮挡建筑进行日照叠加分析，而多、低层建筑不作遮挡建筑参与日照分析。</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4、建筑物的主体部分与日照分析范围线相交，应整栋建筑参与日照计算，已建、在建和拟建高层建筑的主楼和裙房均应参与日照计算。</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5、日照计算仅考虑日照分析范围线内的建筑叠加影响，当拟建高层建筑自身无日照要求时，考虑其对周边建筑的日照影响，只需划其遮挡分析范围。</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6、日照分析范围线内有日照要求的低、多层建筑，其遮挡建筑需结合相邻高层建筑的遮挡分析范围来确定。</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7、对拟建建设用地红线外邻近的尚未建设的居住用地进行日照影响模拟分析时，需生成2小时等照时线，并标明等照时线最外端与拟建项目用地红线的距离等照时线影响宽度。</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8、对现状建筑进行日照分析，建筑使用性质及形态以自然资源主管部门批准的为准。</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新建高层建筑应保证其日照分析范围内被遮挡建筑的日照要求。对确有困难的旧区内的建设项目，经自然资源主管部门核准，专家审查会通过后，可采用建设方与受影响的住户签署协议进行补偿的方式处理。</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下列情形可不做日照分析，但建设单位对此产生的相关问题须作出承诺，且负责协调处理：</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zh-CN"/>
        </w:rPr>
        <w:t>新建建筑周边为待改造地段的低层个人住宅，不考虑其作为被遮挡建筑时的日照影响。</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2、无法采取改正措施又尚未拆除，且未补办规划许可手续的违法建筑，不考虑其作为被遮挡建筑时的日照影响，但仍需作为遮挡建筑参与日照分析。</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3、已由行政执法部门作出拆除决定的建筑，不考虑其日照要求及对外影响。</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14" w:name="_Toc24470"/>
      <w:r>
        <w:rPr>
          <w:rFonts w:hint="eastAsia"/>
          <w:b w:val="0"/>
          <w:bCs/>
          <w:color w:val="auto"/>
          <w:shd w:val="clear" w:color="auto" w:fill="auto"/>
          <w:lang w:val="en-US" w:eastAsia="zh-CN"/>
        </w:rPr>
        <w:t>第三节  建筑离界与退让</w:t>
      </w:r>
      <w:bookmarkEnd w:id="14"/>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Lines="10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沿建设用地边界（用地红线）布置的建筑物，其离界距离除必须符合消防、防汛、环保、交通安全、市政设施和空间环境等方面及相关专业规范规定的要求外，应同时符合本规定，当用地边界有建构筑物或障碍设施等使得离界距离小于消防间距时，须按防火规范的规定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沿建设用地边界（用地红线）布置的建筑物，其离界（离用地红线，下同）距离按以下规定控制：</w:t>
      </w:r>
    </w:p>
    <w:p>
      <w:pPr>
        <w:pStyle w:val="11"/>
        <w:keepNext w:val="0"/>
        <w:keepLines w:val="0"/>
        <w:pageBreakBefore w:val="0"/>
        <w:widowControl/>
        <w:numPr>
          <w:ilvl w:val="0"/>
          <w:numId w:val="9"/>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各类建筑物的临界距离，按其自身建筑性质确定的最小间距（见第二十条）的一半进行控制，且不得小于表3.9的最小距离：</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表3.9  建筑离界（用地红线）距离控制表</w:t>
      </w:r>
    </w:p>
    <w:tbl>
      <w:tblPr>
        <w:tblStyle w:val="25"/>
        <w:tblW w:w="503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20"/>
        <w:gridCol w:w="620"/>
        <w:gridCol w:w="2047"/>
        <w:gridCol w:w="2417"/>
        <w:gridCol w:w="2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6" w:hRule="atLeast"/>
          <w:tblHeader/>
        </w:trPr>
        <w:tc>
          <w:tcPr>
            <w:tcW w:w="829" w:type="pct"/>
            <w:vMerge w:val="restart"/>
            <w:tcBorders>
              <w:bottom w:val="nil"/>
              <w:tl2br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1"/>
                <w:position w:val="17"/>
                <w:sz w:val="24"/>
                <w:szCs w:val="24"/>
                <w:shd w:val="clear" w:color="auto" w:fill="auto"/>
                <w:lang w:val="en-US" w:eastAsia="zh-CN"/>
              </w:rPr>
              <w:t xml:space="preserve">    </w:t>
            </w:r>
            <w:r>
              <w:rPr>
                <w:rFonts w:hint="eastAsia" w:ascii="仿宋" w:hAnsi="仿宋" w:eastAsia="仿宋" w:cs="仿宋"/>
                <w:b/>
                <w:bCs/>
                <w:color w:val="auto"/>
                <w:spacing w:val="-1"/>
                <w:position w:val="17"/>
                <w:sz w:val="24"/>
                <w:szCs w:val="24"/>
                <w:shd w:val="clear" w:color="auto" w:fill="auto"/>
              </w:rPr>
              <w:t>间距</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both"/>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4"/>
                <w:sz w:val="24"/>
                <w:szCs w:val="24"/>
                <w:shd w:val="clear" w:color="auto" w:fill="auto"/>
              </w:rPr>
              <w:t>类区</w:t>
            </w:r>
          </w:p>
        </w:tc>
        <w:tc>
          <w:tcPr>
            <w:tcW w:w="338"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朝向</w:t>
            </w:r>
          </w:p>
        </w:tc>
        <w:tc>
          <w:tcPr>
            <w:tcW w:w="1116" w:type="pct"/>
            <w:vMerge w:val="restart"/>
            <w:tcBorders>
              <w:bottom w:val="nil"/>
            </w:tcBorders>
            <w:vAlign w:val="center"/>
            <mc:AlternateContent>
              <mc:Choice Requires="wpsCustomData">
                <wpsCustomData:diagonals>
                  <wpsCustomData:diagonal from="5000" to="30000">
                    <wpsCustomData:border w:val="single" w:color="000000" w:sz="4" w:space="0"/>
                  </wpsCustomData:diagonal>
                  <wpsCustomData:diagonal from="30000" to="13400">
                    <wpsCustomData:border w:val="single" w:color="000000"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right"/>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层</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距离</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退让</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类型</w:t>
            </w:r>
          </w:p>
        </w:tc>
        <w:tc>
          <w:tcPr>
            <w:tcW w:w="1318"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4"/>
                <w:sz w:val="24"/>
                <w:szCs w:val="24"/>
                <w:shd w:val="clear" w:color="auto" w:fill="auto"/>
              </w:rPr>
              <w:t>居住建筑</w:t>
            </w:r>
          </w:p>
        </w:tc>
        <w:tc>
          <w:tcPr>
            <w:tcW w:w="1397"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4"/>
                <w:sz w:val="24"/>
                <w:szCs w:val="24"/>
                <w:shd w:val="clear" w:color="auto" w:fill="auto"/>
              </w:rPr>
              <w:t>非居住建筑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blHeader/>
        </w:trPr>
        <w:tc>
          <w:tcPr>
            <w:tcW w:w="829" w:type="pct"/>
            <w:vMerge w:val="continue"/>
            <w:tcBorders>
              <w:top w:val="nil"/>
              <w:tl2br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p>
        </w:tc>
        <w:tc>
          <w:tcPr>
            <w:tcW w:w="111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p>
        </w:tc>
        <w:tc>
          <w:tcPr>
            <w:tcW w:w="1318"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1"/>
                <w:sz w:val="24"/>
                <w:szCs w:val="24"/>
                <w:shd w:val="clear" w:color="auto" w:fill="auto"/>
              </w:rPr>
              <w:t>最小离界距离(</w:t>
            </w:r>
            <w:r>
              <w:rPr>
                <w:rFonts w:hint="eastAsia" w:ascii="仿宋" w:hAnsi="仿宋" w:eastAsia="仿宋" w:cs="仿宋"/>
                <w:b/>
                <w:bCs/>
                <w:color w:val="auto"/>
                <w:spacing w:val="1"/>
                <w:sz w:val="24"/>
                <w:szCs w:val="24"/>
                <w:shd w:val="clear" w:color="auto" w:fill="auto"/>
                <w:lang w:val="en-US" w:eastAsia="zh-CN"/>
              </w:rPr>
              <w:t>m</w:t>
            </w:r>
            <w:r>
              <w:rPr>
                <w:rFonts w:hint="eastAsia" w:ascii="仿宋" w:hAnsi="仿宋" w:eastAsia="仿宋" w:cs="仿宋"/>
                <w:b/>
                <w:bCs/>
                <w:color w:val="auto"/>
                <w:spacing w:val="1"/>
                <w:sz w:val="24"/>
                <w:szCs w:val="24"/>
                <w:shd w:val="clear" w:color="auto" w:fill="auto"/>
              </w:rPr>
              <w:t>)</w:t>
            </w:r>
          </w:p>
        </w:tc>
        <w:tc>
          <w:tcPr>
            <w:tcW w:w="1397" w:type="pct"/>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1"/>
                <w:sz w:val="24"/>
                <w:szCs w:val="24"/>
                <w:shd w:val="clear" w:color="auto" w:fill="auto"/>
              </w:rPr>
              <w:t>最小离界距离(</w:t>
            </w:r>
            <w:r>
              <w:rPr>
                <w:rFonts w:hint="eastAsia" w:ascii="仿宋" w:hAnsi="仿宋" w:eastAsia="仿宋" w:cs="仿宋"/>
                <w:b/>
                <w:bCs/>
                <w:color w:val="auto"/>
                <w:spacing w:val="1"/>
                <w:sz w:val="24"/>
                <w:szCs w:val="24"/>
                <w:shd w:val="clear" w:color="auto" w:fill="auto"/>
                <w:lang w:val="en-US" w:eastAsia="zh-CN"/>
              </w:rPr>
              <w:t>m</w:t>
            </w:r>
            <w:r>
              <w:rPr>
                <w:rFonts w:hint="eastAsia" w:ascii="仿宋" w:hAnsi="仿宋" w:eastAsia="仿宋" w:cs="仿宋"/>
                <w:b/>
                <w:bCs/>
                <w:color w:val="auto"/>
                <w:spacing w:val="1"/>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2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16"/>
                <w:sz w:val="24"/>
                <w:szCs w:val="24"/>
                <w:shd w:val="clear" w:color="auto" w:fill="auto"/>
              </w:rPr>
              <w:t>旧区</w:t>
            </w:r>
          </w:p>
        </w:tc>
        <w:tc>
          <w:tcPr>
            <w:tcW w:w="338"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z w:val="24"/>
                <w:szCs w:val="24"/>
                <w:shd w:val="clear" w:color="auto" w:fill="auto"/>
              </w:rPr>
              <w:t>主要朝向</w:t>
            </w: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4"/>
                <w:sz w:val="24"/>
                <w:szCs w:val="24"/>
                <w:shd w:val="clear" w:color="auto" w:fill="auto"/>
              </w:rPr>
              <w:t>低层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6"/>
                <w:sz w:val="24"/>
                <w:szCs w:val="24"/>
                <w:shd w:val="clear" w:color="auto" w:fill="auto"/>
              </w:rPr>
              <w:t>多层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1"/>
                <w:sz w:val="24"/>
                <w:szCs w:val="24"/>
                <w:shd w:val="clear" w:color="auto" w:fill="auto"/>
              </w:rPr>
              <w:t>中高层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9</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5"/>
                <w:sz w:val="24"/>
                <w:szCs w:val="24"/>
                <w:shd w:val="clear" w:color="auto" w:fill="auto"/>
              </w:rPr>
              <w:t>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z w:val="24"/>
                <w:szCs w:val="24"/>
                <w:shd w:val="clear" w:color="auto" w:fill="auto"/>
              </w:rPr>
              <w:t>次要朝向</w:t>
            </w: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4"/>
                <w:sz w:val="24"/>
                <w:szCs w:val="24"/>
                <w:shd w:val="clear" w:color="auto" w:fill="auto"/>
              </w:rPr>
              <w:t>低层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按消防间距控制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8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6"/>
                <w:sz w:val="24"/>
                <w:szCs w:val="24"/>
                <w:shd w:val="clear" w:color="auto" w:fill="auto"/>
              </w:rPr>
              <w:t>多层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按消防间距控制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2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1"/>
                <w:sz w:val="24"/>
                <w:szCs w:val="24"/>
                <w:shd w:val="clear" w:color="auto" w:fill="auto"/>
              </w:rPr>
              <w:t>中高层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2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tcBorders>
            <w:textDirection w:val="tbRlV"/>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5"/>
                <w:sz w:val="24"/>
                <w:szCs w:val="24"/>
                <w:shd w:val="clear" w:color="auto" w:fill="auto"/>
              </w:rPr>
              <w:t>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2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pacing w:val="-4"/>
                <w:sz w:val="24"/>
                <w:szCs w:val="24"/>
                <w:shd w:val="clear" w:color="auto" w:fill="auto"/>
              </w:rPr>
              <w:t>新区</w:t>
            </w:r>
          </w:p>
        </w:tc>
        <w:tc>
          <w:tcPr>
            <w:tcW w:w="338"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val="0"/>
                <w:bCs w:val="0"/>
                <w:color w:val="auto"/>
                <w:sz w:val="24"/>
                <w:szCs w:val="24"/>
                <w:shd w:val="clear" w:color="auto" w:fill="auto"/>
                <w:lang w:eastAsia="zh-CN"/>
              </w:rPr>
            </w:pPr>
            <w:r>
              <w:rPr>
                <w:rFonts w:hint="eastAsia" w:ascii="仿宋" w:hAnsi="仿宋" w:eastAsia="仿宋" w:cs="仿宋"/>
                <w:b w:val="0"/>
                <w:bCs w:val="0"/>
                <w:color w:val="auto"/>
                <w:sz w:val="24"/>
                <w:szCs w:val="24"/>
                <w:shd w:val="clear" w:color="auto" w:fill="auto"/>
                <w:lang w:eastAsia="zh-CN"/>
              </w:rPr>
              <w:t>主要朝向</w:t>
            </w: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4"/>
                <w:sz w:val="24"/>
                <w:szCs w:val="24"/>
                <w:shd w:val="clear" w:color="auto" w:fill="auto"/>
              </w:rPr>
              <w:t>低层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829"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6"/>
                <w:sz w:val="24"/>
                <w:szCs w:val="24"/>
                <w:shd w:val="clear" w:color="auto" w:fill="auto"/>
              </w:rPr>
              <w:t>多层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7</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29"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1"/>
                <w:sz w:val="24"/>
                <w:szCs w:val="24"/>
                <w:shd w:val="clear" w:color="auto" w:fill="auto"/>
              </w:rPr>
              <w:t>中高层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9"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5"/>
                <w:sz w:val="24"/>
                <w:szCs w:val="24"/>
                <w:shd w:val="clear" w:color="auto" w:fill="auto"/>
              </w:rPr>
              <w:t>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29"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z w:val="24"/>
                <w:szCs w:val="24"/>
                <w:shd w:val="clear" w:color="auto" w:fill="auto"/>
              </w:rPr>
              <w:t>次要朝向</w:t>
            </w: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4"/>
                <w:sz w:val="24"/>
                <w:szCs w:val="24"/>
                <w:shd w:val="clear" w:color="auto" w:fill="auto"/>
              </w:rPr>
              <w:t>低层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按消防间距控制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829"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6"/>
                <w:sz w:val="24"/>
                <w:szCs w:val="24"/>
                <w:shd w:val="clear" w:color="auto" w:fill="auto"/>
              </w:rPr>
              <w:t>多层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按消防间距控制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29"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nil"/>
            </w:tcBorders>
            <w:textDirection w:val="tbRlV"/>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1"/>
                <w:sz w:val="24"/>
                <w:szCs w:val="24"/>
                <w:shd w:val="clear" w:color="auto" w:fill="auto"/>
              </w:rPr>
              <w:t>中高层</w:t>
            </w:r>
          </w:p>
        </w:tc>
        <w:tc>
          <w:tcPr>
            <w:tcW w:w="1318"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w:t>
            </w:r>
          </w:p>
        </w:tc>
        <w:tc>
          <w:tcPr>
            <w:tcW w:w="1397" w:type="pct"/>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lang w:val="en-US" w:eastAsia="zh-CN"/>
              </w:rPr>
              <w:t>-</w:t>
            </w:r>
            <w:r>
              <w:rPr>
                <w:rFonts w:hint="eastAsia" w:ascii="仿宋" w:hAnsi="仿宋" w:eastAsia="仿宋" w:cs="仿宋"/>
                <w:color w:val="auto"/>
                <w:sz w:val="24"/>
                <w:szCs w:val="24"/>
                <w:shd w:val="clear" w:color="auto" w:fill="auto"/>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829" w:type="pct"/>
            <w:vMerge w:val="continue"/>
            <w:tcBorders>
              <w:top w:val="nil"/>
              <w:bottom w:val="single" w:color="auto" w:sz="4" w:space="0"/>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338" w:type="pct"/>
            <w:vMerge w:val="continue"/>
            <w:tcBorders>
              <w:top w:val="nil"/>
              <w:bottom w:val="single" w:color="auto" w:sz="4" w:space="0"/>
            </w:tcBorders>
            <w:textDirection w:val="tbRlV"/>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p>
        </w:tc>
        <w:tc>
          <w:tcPr>
            <w:tcW w:w="1116" w:type="pct"/>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b w:val="0"/>
                <w:bCs w:val="0"/>
                <w:color w:val="auto"/>
                <w:sz w:val="24"/>
                <w:szCs w:val="24"/>
                <w:shd w:val="clear" w:color="auto" w:fill="auto"/>
              </w:rPr>
            </w:pPr>
            <w:r>
              <w:rPr>
                <w:rFonts w:hint="eastAsia" w:ascii="仿宋" w:hAnsi="仿宋" w:eastAsia="仿宋" w:cs="仿宋"/>
                <w:b w:val="0"/>
                <w:bCs w:val="0"/>
                <w:color w:val="auto"/>
                <w:spacing w:val="-5"/>
                <w:sz w:val="24"/>
                <w:szCs w:val="24"/>
                <w:shd w:val="clear" w:color="auto" w:fill="auto"/>
              </w:rPr>
              <w:t>高层</w:t>
            </w:r>
          </w:p>
        </w:tc>
        <w:tc>
          <w:tcPr>
            <w:tcW w:w="1318" w:type="pct"/>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7.5</w:t>
            </w:r>
          </w:p>
        </w:tc>
        <w:tc>
          <w:tcPr>
            <w:tcW w:w="1397" w:type="pct"/>
            <w:tcBorders>
              <w:bottom w:val="single" w:color="auto" w:sz="4" w:space="0"/>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000" w:type="pct"/>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 xml:space="preserve">注：本表中“低层”非居住建筑指 1-3 层非居住建筑。 </w:t>
      </w: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316" w:type="dxa"/>
          </w:tcPr>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Lines="100" w:beforeAutospacing="0" w:after="0" w:afterAutospacing="0" w:line="360" w:lineRule="auto"/>
              <w:ind w:right="0" w:rightChars="0"/>
              <w:jc w:val="center"/>
              <w:textAlignment w:val="auto"/>
              <w:rPr>
                <w:rFonts w:hint="eastAsia" w:ascii="仿宋" w:hAnsi="仿宋" w:eastAsia="仿宋" w:cs="仿宋"/>
                <w:color w:val="auto"/>
                <w:sz w:val="21"/>
                <w:szCs w:val="21"/>
                <w:shd w:val="clear" w:color="auto" w:fill="auto"/>
                <w:vertAlign w:val="baseline"/>
                <w:lang w:val="en-US" w:eastAsia="zh-CN"/>
              </w:rPr>
            </w:pPr>
            <w:r>
              <w:rPr>
                <w:color w:val="auto"/>
                <w:shd w:val="clear" w:color="auto" w:fill="auto"/>
              </w:rPr>
              <w:drawing>
                <wp:anchor distT="0" distB="0" distL="114300" distR="114300" simplePos="0" relativeHeight="251675648" behindDoc="0" locked="0" layoutInCell="1" allowOverlap="1">
                  <wp:simplePos x="0" y="0"/>
                  <wp:positionH relativeFrom="column">
                    <wp:posOffset>180340</wp:posOffset>
                  </wp:positionH>
                  <wp:positionV relativeFrom="paragraph">
                    <wp:posOffset>154940</wp:posOffset>
                  </wp:positionV>
                  <wp:extent cx="5508625" cy="3122930"/>
                  <wp:effectExtent l="0" t="0" r="15875" b="127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508625" cy="3122930"/>
                          </a:xfrm>
                          <a:prstGeom prst="rect">
                            <a:avLst/>
                          </a:prstGeom>
                          <a:noFill/>
                          <a:ln>
                            <a:noFill/>
                          </a:ln>
                        </pic:spPr>
                      </pic:pic>
                    </a:graphicData>
                  </a:graphic>
                </wp:anchor>
              </w:drawing>
            </w:r>
            <w:r>
              <w:rPr>
                <w:rFonts w:hint="eastAsia" w:ascii="仿宋" w:hAnsi="仿宋" w:eastAsia="仿宋" w:cs="仿宋"/>
                <w:b/>
                <w:bCs/>
                <w:color w:val="auto"/>
                <w:sz w:val="28"/>
                <w:szCs w:val="28"/>
                <w:shd w:val="clear" w:color="auto" w:fill="auto"/>
                <w:lang w:val="en-US" w:eastAsia="zh-CN"/>
              </w:rPr>
              <w:t>建筑离界图示</w:t>
            </w:r>
          </w:p>
        </w:tc>
      </w:tr>
    </w:tbl>
    <w:p>
      <w:pPr>
        <w:pStyle w:val="11"/>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2、当相邻建设项目尚未确定时，建筑退让控制应考虑相邻建设项目的建设强度、 开发时序，各地应根据公平性原则，制定在此情况下建筑退让建设用地红线距离的计算方法。</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eastAsia="zh-CN"/>
        </w:rPr>
        <w:t>某些毗邻用地的建设项目，考虑沿街景观、土地利用以及其他类似情况，在满足消防、交通及建筑功能等要求的前提下，经自然资源主管部门核定，可允许其在界线（用地红线）处接建。</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建设用地界线（用地红线）为非规则线型或与建筑长轴方向不平行时，其离界距离按建筑物与界线的最近点进行控制；当因用地红线折点等原因产生多个最近点时，则南北向离界距离按主要朝向控制，东西向按次要朝向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5、</w:t>
      </w:r>
      <w:r>
        <w:rPr>
          <w:rFonts w:hint="eastAsia" w:ascii="仿宋" w:hAnsi="仿宋" w:eastAsia="仿宋" w:cs="仿宋"/>
          <w:color w:val="auto"/>
          <w:sz w:val="30"/>
          <w:szCs w:val="30"/>
          <w:shd w:val="clear" w:color="auto" w:fill="auto"/>
          <w:lang w:val="en-US" w:eastAsia="zh-CN"/>
        </w:rPr>
        <w:t>构筑物的离界距离按构筑物的高度参照相应高度的非居住建筑次要朝向的离界距离要求执行。</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6、毗邻用地建设，如相邻方已有永久建筑物，且其离界距离不足，新建建筑在符合日照规定要求和自身离界距离的前提下，其间的建筑间距在执行本规定确有困难时，经自然资源主管部门批准，可按相邻建筑不足的离界距离的一半减少其间的建筑间距。</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7、教学楼、病房、幼儿园、老年公寓等建筑的离界因自身要求应增加的距离须留在其自身用地红线范围内。</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default"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8、加油加气站、危险品库、油库、液化气瓶库、燃气储备站、污水处理站、垃圾站等基础设施及其他有安全防护距离要求的建筑物、构筑物，其安全防护距离应留在其自身用地红线范围内。</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各县（市）历史街区、历史地段等特定区域的建筑离界距离由各县（市）自然资源主管部门另行核定。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color w:val="auto"/>
          <w:sz w:val="30"/>
          <w:szCs w:val="30"/>
          <w:shd w:val="clear" w:color="auto" w:fill="auto"/>
          <w:lang w:val="en-US" w:eastAsia="zh-CN"/>
        </w:rPr>
        <w:t>沿城市道路或其他城市基础设施两侧新建、改建和扩建的建筑物退让城市道路红线或其他城市基础设施的距离按下表3.10控制，且应符合本规定的其他相关要求：</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表3.10 建筑退让城市道路等设施最小距离控制表（单位：米）</w:t>
      </w:r>
    </w:p>
    <w:tbl>
      <w:tblPr>
        <w:tblStyle w:val="12"/>
        <w:tblW w:w="500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7"/>
        <w:gridCol w:w="1747"/>
        <w:gridCol w:w="606"/>
        <w:gridCol w:w="874"/>
        <w:gridCol w:w="871"/>
        <w:gridCol w:w="885"/>
        <w:gridCol w:w="871"/>
        <w:gridCol w:w="871"/>
        <w:gridCol w:w="874"/>
        <w:gridCol w:w="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306" w:type="pct"/>
            <w:gridSpan w:val="2"/>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类别</w:t>
            </w:r>
          </w:p>
        </w:tc>
        <w:tc>
          <w:tcPr>
            <w:tcW w:w="1773" w:type="pct"/>
            <w:gridSpan w:val="4"/>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旧区</w:t>
            </w:r>
          </w:p>
        </w:tc>
        <w:tc>
          <w:tcPr>
            <w:tcW w:w="1920" w:type="pct"/>
            <w:gridSpan w:val="4"/>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1306" w:type="pct"/>
            <w:gridSpan w:val="2"/>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p>
        </w:tc>
        <w:tc>
          <w:tcPr>
            <w:tcW w:w="33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低多层</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高层≤ 50</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50＜H≤100</w:t>
            </w:r>
          </w:p>
        </w:tc>
        <w:tc>
          <w:tcPr>
            <w:tcW w:w="48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H＞100</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低多层</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高层≤ 50</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50&lt;H≤100</w:t>
            </w:r>
          </w:p>
        </w:tc>
        <w:tc>
          <w:tcPr>
            <w:tcW w:w="48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eastAsia="zh-CN"/>
              </w:rPr>
            </w:pPr>
            <w:r>
              <w:rPr>
                <w:rFonts w:hint="eastAsia" w:ascii="仿宋" w:hAnsi="仿宋" w:eastAsia="仿宋" w:cs="仿宋"/>
                <w:b/>
                <w:bCs/>
                <w:color w:val="auto"/>
                <w:w w:val="105"/>
                <w:sz w:val="24"/>
                <w:szCs w:val="24"/>
                <w:shd w:val="clear" w:color="auto" w:fill="auto"/>
                <w:lang w:eastAsia="zh-CN"/>
              </w:rPr>
              <w:t>H＞100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349"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城市一般道路</w:t>
            </w: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W＜2</w:t>
            </w:r>
            <w:r>
              <w:rPr>
                <w:rFonts w:hint="eastAsia" w:ascii="仿宋" w:hAnsi="仿宋" w:eastAsia="仿宋" w:cs="仿宋"/>
                <w:color w:val="auto"/>
                <w:w w:val="105"/>
                <w:sz w:val="24"/>
                <w:szCs w:val="24"/>
                <w:shd w:val="clear" w:color="auto" w:fill="auto"/>
                <w:lang w:val="en-US" w:eastAsia="zh-CN"/>
              </w:rPr>
              <w:t>5</w:t>
            </w:r>
          </w:p>
        </w:tc>
        <w:tc>
          <w:tcPr>
            <w:tcW w:w="33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3</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5</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48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0</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5</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48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2</w:t>
            </w:r>
            <w:r>
              <w:rPr>
                <w:rFonts w:hint="eastAsia" w:ascii="仿宋" w:hAnsi="仿宋" w:eastAsia="仿宋" w:cs="仿宋"/>
                <w:color w:val="auto"/>
                <w:w w:val="105"/>
                <w:sz w:val="24"/>
                <w:szCs w:val="24"/>
                <w:shd w:val="clear" w:color="auto" w:fill="auto"/>
                <w:lang w:val="en-US" w:eastAsia="zh-CN"/>
              </w:rPr>
              <w:t>5</w:t>
            </w:r>
            <w:r>
              <w:rPr>
                <w:rFonts w:hint="eastAsia" w:ascii="仿宋" w:hAnsi="仿宋" w:eastAsia="仿宋" w:cs="仿宋"/>
                <w:color w:val="auto"/>
                <w:w w:val="105"/>
                <w:sz w:val="24"/>
                <w:szCs w:val="24"/>
                <w:shd w:val="clear" w:color="auto" w:fill="auto"/>
                <w:lang w:eastAsia="zh-CN"/>
              </w:rPr>
              <w:t>≤W＜</w:t>
            </w:r>
            <w:r>
              <w:rPr>
                <w:rFonts w:hint="eastAsia" w:ascii="仿宋" w:hAnsi="仿宋" w:eastAsia="仿宋" w:cs="仿宋"/>
                <w:color w:val="auto"/>
                <w:w w:val="105"/>
                <w:sz w:val="24"/>
                <w:szCs w:val="24"/>
                <w:shd w:val="clear" w:color="auto" w:fill="auto"/>
                <w:lang w:val="en-US" w:eastAsia="zh-CN"/>
              </w:rPr>
              <w:t>3</w:t>
            </w:r>
            <w:r>
              <w:rPr>
                <w:rFonts w:hint="eastAsia" w:ascii="仿宋" w:hAnsi="仿宋" w:eastAsia="仿宋" w:cs="仿宋"/>
                <w:color w:val="auto"/>
                <w:w w:val="105"/>
                <w:sz w:val="24"/>
                <w:szCs w:val="24"/>
                <w:shd w:val="clear" w:color="auto" w:fill="auto"/>
                <w:lang w:eastAsia="zh-CN"/>
              </w:rPr>
              <w:t>6</w:t>
            </w:r>
          </w:p>
        </w:tc>
        <w:tc>
          <w:tcPr>
            <w:tcW w:w="33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5</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10</w:t>
            </w:r>
          </w:p>
        </w:tc>
        <w:tc>
          <w:tcPr>
            <w:tcW w:w="48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12</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8</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0</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2</w:t>
            </w:r>
          </w:p>
        </w:tc>
        <w:tc>
          <w:tcPr>
            <w:tcW w:w="48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W≥</w:t>
            </w:r>
            <w:r>
              <w:rPr>
                <w:rFonts w:hint="eastAsia" w:ascii="仿宋" w:hAnsi="仿宋" w:eastAsia="仿宋" w:cs="仿宋"/>
                <w:color w:val="auto"/>
                <w:w w:val="105"/>
                <w:sz w:val="24"/>
                <w:szCs w:val="24"/>
                <w:shd w:val="clear" w:color="auto" w:fill="auto"/>
                <w:lang w:val="en-US" w:eastAsia="zh-CN"/>
              </w:rPr>
              <w:t>3</w:t>
            </w:r>
            <w:r>
              <w:rPr>
                <w:rFonts w:hint="eastAsia" w:ascii="仿宋" w:hAnsi="仿宋" w:eastAsia="仿宋" w:cs="仿宋"/>
                <w:color w:val="auto"/>
                <w:w w:val="105"/>
                <w:sz w:val="24"/>
                <w:szCs w:val="24"/>
                <w:shd w:val="clear" w:color="auto" w:fill="auto"/>
                <w:lang w:eastAsia="zh-CN"/>
              </w:rPr>
              <w:t>6</w:t>
            </w:r>
          </w:p>
        </w:tc>
        <w:tc>
          <w:tcPr>
            <w:tcW w:w="33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8</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0</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2</w:t>
            </w:r>
          </w:p>
        </w:tc>
        <w:tc>
          <w:tcPr>
            <w:tcW w:w="48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5</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10</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2</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5</w:t>
            </w:r>
          </w:p>
        </w:tc>
        <w:tc>
          <w:tcPr>
            <w:tcW w:w="48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1306" w:type="pct"/>
            <w:gridSpan w:val="2"/>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蓝线</w:t>
            </w:r>
          </w:p>
        </w:tc>
        <w:tc>
          <w:tcPr>
            <w:tcW w:w="33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1440" w:type="pct"/>
            <w:gridSpan w:val="3"/>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2</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w:t>
            </w:r>
            <w:r>
              <w:rPr>
                <w:rFonts w:hint="eastAsia" w:ascii="仿宋" w:hAnsi="仿宋" w:eastAsia="仿宋" w:cs="仿宋"/>
                <w:color w:val="auto"/>
                <w:w w:val="105"/>
                <w:sz w:val="24"/>
                <w:szCs w:val="24"/>
                <w:shd w:val="clear" w:color="auto" w:fill="auto"/>
                <w:lang w:val="en-US" w:eastAsia="zh-CN"/>
              </w:rPr>
              <w:t>2</w:t>
            </w:r>
          </w:p>
        </w:tc>
        <w:tc>
          <w:tcPr>
            <w:tcW w:w="1443" w:type="pct"/>
            <w:gridSpan w:val="3"/>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06" w:type="pct"/>
            <w:gridSpan w:val="2"/>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绿线</w:t>
            </w:r>
          </w:p>
        </w:tc>
        <w:tc>
          <w:tcPr>
            <w:tcW w:w="33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4</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5</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6</w:t>
            </w:r>
          </w:p>
        </w:tc>
        <w:tc>
          <w:tcPr>
            <w:tcW w:w="48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5</w:t>
            </w:r>
          </w:p>
        </w:tc>
        <w:tc>
          <w:tcPr>
            <w:tcW w:w="47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6</w:t>
            </w:r>
          </w:p>
        </w:tc>
        <w:tc>
          <w:tcPr>
            <w:tcW w:w="47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8</w:t>
            </w:r>
          </w:p>
        </w:tc>
        <w:tc>
          <w:tcPr>
            <w:tcW w:w="48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349"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城市特殊</w:t>
            </w:r>
          </w:p>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道路</w:t>
            </w: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高架路</w:t>
            </w:r>
          </w:p>
        </w:tc>
        <w:tc>
          <w:tcPr>
            <w:tcW w:w="1773" w:type="pct"/>
            <w:gridSpan w:val="4"/>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15</w:t>
            </w:r>
            <w:r>
              <w:rPr>
                <w:rFonts w:hint="eastAsia" w:ascii="仿宋" w:hAnsi="仿宋" w:eastAsia="仿宋" w:cs="仿宋"/>
                <w:color w:val="auto"/>
                <w:w w:val="105"/>
                <w:sz w:val="24"/>
                <w:szCs w:val="24"/>
                <w:shd w:val="clear" w:color="auto" w:fill="auto"/>
                <w:lang w:eastAsia="zh-CN"/>
              </w:rPr>
              <w:t>（无辅道时）</w:t>
            </w:r>
          </w:p>
        </w:tc>
        <w:tc>
          <w:tcPr>
            <w:tcW w:w="1920" w:type="pct"/>
            <w:gridSpan w:val="4"/>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2</w:t>
            </w:r>
            <w:r>
              <w:rPr>
                <w:rFonts w:hint="eastAsia" w:ascii="仿宋" w:hAnsi="仿宋" w:eastAsia="仿宋" w:cs="仿宋"/>
                <w:color w:val="auto"/>
                <w:w w:val="105"/>
                <w:sz w:val="24"/>
                <w:szCs w:val="24"/>
                <w:shd w:val="clear" w:color="auto" w:fill="auto"/>
                <w:lang w:val="en-US" w:eastAsia="zh-CN"/>
              </w:rPr>
              <w:t>0</w:t>
            </w:r>
            <w:r>
              <w:rPr>
                <w:rFonts w:hint="eastAsia" w:ascii="仿宋" w:hAnsi="仿宋" w:eastAsia="仿宋" w:cs="仿宋"/>
                <w:color w:val="auto"/>
                <w:w w:val="105"/>
                <w:sz w:val="24"/>
                <w:szCs w:val="24"/>
                <w:shd w:val="clear" w:color="auto" w:fill="auto"/>
                <w:lang w:eastAsia="zh-CN"/>
              </w:rPr>
              <w:t>（无辅道时）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立交桥</w:t>
            </w:r>
          </w:p>
        </w:tc>
        <w:tc>
          <w:tcPr>
            <w:tcW w:w="1773" w:type="pct"/>
            <w:gridSpan w:val="4"/>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15</w:t>
            </w:r>
          </w:p>
        </w:tc>
        <w:tc>
          <w:tcPr>
            <w:tcW w:w="1920" w:type="pct"/>
            <w:gridSpan w:val="4"/>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2</w:t>
            </w:r>
            <w:r>
              <w:rPr>
                <w:rFonts w:hint="eastAsia" w:ascii="仿宋" w:hAnsi="仿宋" w:eastAsia="仿宋" w:cs="仿宋"/>
                <w:color w:val="auto"/>
                <w:w w:val="105"/>
                <w:sz w:val="24"/>
                <w:szCs w:val="24"/>
                <w:shd w:val="clear" w:color="auto" w:fil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349"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铁路</w:t>
            </w: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高速铁路</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30（至最外侧轨道外边线距离，下同）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349"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铁路干线</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49"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铁路支线</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6" w:hRule="atLeast"/>
        </w:trPr>
        <w:tc>
          <w:tcPr>
            <w:tcW w:w="349"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铁路专线</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公路</w:t>
            </w: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高速公路</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3</w:t>
            </w:r>
            <w:r>
              <w:rPr>
                <w:rFonts w:hint="eastAsia" w:ascii="仿宋" w:hAnsi="仿宋" w:eastAsia="仿宋" w:cs="仿宋"/>
                <w:color w:val="auto"/>
                <w:w w:val="105"/>
                <w:sz w:val="24"/>
                <w:szCs w:val="24"/>
                <w:shd w:val="clear" w:color="auto" w:fill="auto"/>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国道</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eastAsia="zh-CN"/>
              </w:rPr>
              <w:t>省道</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default"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color w:val="auto"/>
                <w:w w:val="105"/>
                <w:kern w:val="2"/>
                <w:sz w:val="24"/>
                <w:szCs w:val="24"/>
                <w:shd w:val="clear" w:color="auto" w:fill="auto"/>
                <w:lang w:val="zh-CN" w:eastAsia="zh-CN" w:bidi="zh-CN"/>
              </w:rPr>
            </w:pPr>
            <w:r>
              <w:rPr>
                <w:rFonts w:hint="eastAsia" w:ascii="仿宋" w:hAnsi="仿宋" w:eastAsia="仿宋" w:cs="仿宋"/>
                <w:color w:val="auto"/>
                <w:w w:val="105"/>
                <w:sz w:val="24"/>
                <w:szCs w:val="24"/>
                <w:shd w:val="clear" w:color="auto" w:fill="auto"/>
                <w:lang w:eastAsia="zh-CN"/>
              </w:rPr>
              <w:t>县道</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eastAsia" w:ascii="仿宋" w:hAnsi="仿宋" w:eastAsia="仿宋" w:cs="仿宋"/>
                <w:color w:val="auto"/>
                <w:w w:val="105"/>
                <w:kern w:val="2"/>
                <w:sz w:val="24"/>
                <w:szCs w:val="24"/>
                <w:shd w:val="clear" w:color="auto" w:fill="auto"/>
                <w:lang w:val="en-US" w:eastAsia="zh-CN" w:bidi="zh-CN"/>
              </w:rPr>
            </w:pPr>
            <w:r>
              <w:rPr>
                <w:rFonts w:hint="eastAsia" w:ascii="仿宋" w:hAnsi="仿宋" w:eastAsia="仿宋" w:cs="仿宋"/>
                <w:color w:val="auto"/>
                <w:w w:val="105"/>
                <w:sz w:val="24"/>
                <w:szCs w:val="24"/>
                <w:shd w:val="clear" w:color="auto" w:fill="auto"/>
                <w:lang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乡道</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349"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架空电力线路</w:t>
            </w: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10KV</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5（至导线边线延伸距离，下同）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35-110KV</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220KV</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49"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p>
        </w:tc>
        <w:tc>
          <w:tcPr>
            <w:tcW w:w="95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500KV 以上</w:t>
            </w:r>
          </w:p>
        </w:tc>
        <w:tc>
          <w:tcPr>
            <w:tcW w:w="3693" w:type="pct"/>
            <w:gridSpan w:val="8"/>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eastAsia="zh-CN"/>
              </w:rPr>
            </w:pPr>
            <w:r>
              <w:rPr>
                <w:rFonts w:hint="eastAsia" w:ascii="仿宋" w:hAnsi="仿宋" w:eastAsia="仿宋" w:cs="仿宋"/>
                <w:color w:val="auto"/>
                <w:w w:val="105"/>
                <w:sz w:val="24"/>
                <w:szCs w:val="24"/>
                <w:shd w:val="clear" w:color="auto" w:fill="auto"/>
                <w:lang w:eastAsia="zh-CN"/>
              </w:rPr>
              <w:t>20</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注：1.H指建筑高度；W指道路宽度；退让距离按至建（构）筑物外墙轴线计算。</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2.当建筑物的道路退让与用地离界距离重叠时，按退让城市道路的距离和与城市道路中心线的离界距离较大者进行控制；当退让道路与上表其他退让距离重叠时，按退让距离较大者进行控制。</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3.高层建筑退让城市道路红线是指主楼部分的退让，其裙房为低多层建筑时按低多层建筑退让。</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4.建筑物高出要求退让侧室外地坪标高的地下室按本表进行退让。</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5.沿穿越村镇、城镇的公路两侧兴建建筑工程，可按村镇、城镇规划进行管理， 但建筑物退让公路规划红线的距离不得小于10米。</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6.铁路周边的特殊困难地段的建筑退让应满足《铁路安全管理条例》的相关要求。</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临城市道路或绿线布置的低、多层商业建筑（含商业铺面、高层建筑的裙房或底层商业部分），退让城市道路或绿线的距离应在上表3.10的基础上增加2米。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地块主要出入口一侧的建筑距离城市道路应当预留充足的缓冲空间。中小学主要出入口一侧的建筑退让城市道路红线距离应不小于10米；新建影剧院、游乐场、体育馆、展览馆、大型商场等有大量人流和车流集散的建筑，其主要出入口一侧的建筑退后道路红线距离，除满足国家规范外，不得小于15米，并应留出临时停车或回车场地。</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道路交叉口四周的建筑退后视距三角形道路斜线的距离，低、多层建筑不得小于5米，高层建筑不得小于8米（自道路规划红线直线段的连接线算起）。</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临两条路幅宽度均≥36米城市道路交叉口及绿线布置的商业建筑和高层建筑，其退让城市道路交叉口及绿线的距离应在上表3.10的基础上增加5米（自城市道路缘石转弯曲线切点算起）。</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建筑物自身的功能性建筑空间和设施（如阳台、空中花园、有柱雨棚、自动扶梯、观光电梯等）的退让距离应符合表3.10的规定。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建筑物的基础、台阶、无柱雨棚、管线等及其他附属设施退让城市道路或绿线的距离应≥1.5米；地下建筑物（含下沉式广场）退让城市道路或绿线的距离应大于其埋深的30%，且应≥3米。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般建设项目的传达室、门卫室、大门、进出闸口等退让城市道路的距离应≥6米，退让绿线的距离应≥5米；各类垃圾站、中学和小学的校门退让城市道路红线的距离应≥10米，退让绿线的距离应25米；围墙退让城市道路红线、绿线的距离应≥1.5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构筑物的退让距离按构筑物的高度参照相应高度建筑的退让距离要求执行。</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沿城市道路或绿线外布置的货运车辆装卸泊位边线应按退让城市道路或绿线≥3米设置，当无法满足退让要求时，应设于建筑物内部。</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在电力线路保护区范围内，不得新建、改建、扩建建筑物电力线路保护区的范围按相关规定执行。</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在文物保护单位和建筑保护单位周围的建设控制用地范围内新建、改建、扩建建筑物，其控制线应符合有关保护规定，并按经批准的详细规划执行；尚无详细规划的，应先编制详细规划，经批准后实施；确需立即建设的，由自然资源主管部门和有关部门共同确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各县（市）历史街区、历史地段等特定区域的建筑退让要求由自然资源主管部门另行核定。</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15" w:name="_Toc17453"/>
      <w:bookmarkStart w:id="16" w:name="_Toc22004"/>
      <w:r>
        <w:rPr>
          <w:rFonts w:hint="eastAsia"/>
          <w:b w:val="0"/>
          <w:bCs/>
          <w:color w:val="auto"/>
          <w:shd w:val="clear" w:color="auto" w:fill="auto"/>
          <w:lang w:val="en-US" w:eastAsia="zh-CN"/>
        </w:rPr>
        <w:t>第四节  建筑基地环境</w:t>
      </w:r>
      <w:bookmarkEnd w:id="15"/>
      <w:bookmarkEnd w:id="16"/>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所有建设项目的绿化和景观建设应严格按批准的建筑项目绿化设计方案图实施，其修改必须向原审批机关报审并获得批准方可施工。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可计算绿地率的绿化用地，是指可通过各级道路直接到达、地下没有建筑物或有建筑物但建筑物顶板外表面标高（覆土厚度不计入）高出周边道路或地坪的平均髙度≤0.3米且最小覆土厚度≥1.2米且的绿地，绿地内宜多种植具有地方特色的高大乔木。</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居住用地内的集中绿地应不小于规定绿地总面积的30%,单独集中绿地用地面积不应小于400平方米，宽度不小于8米。集中绿地应以种植具有地方特色的高大乔木为主，减少单纯草地面积。</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屋面能够通过公共交通直接到达的覆土种植绿化面积（每块面积不得小于100m</w:t>
      </w:r>
      <w:r>
        <w:rPr>
          <w:rFonts w:hint="eastAsia" w:ascii="仿宋" w:hAnsi="仿宋" w:eastAsia="仿宋" w:cs="仿宋"/>
          <w:color w:val="auto"/>
          <w:sz w:val="30"/>
          <w:szCs w:val="30"/>
          <w:shd w:val="clear" w:color="auto" w:fill="auto"/>
          <w:vertAlign w:val="superscript"/>
          <w:lang w:val="en-US" w:eastAsia="zh-CN"/>
        </w:rPr>
        <w:t>2</w:t>
      </w:r>
      <w:r>
        <w:rPr>
          <w:rFonts w:hint="eastAsia" w:ascii="仿宋" w:hAnsi="仿宋" w:eastAsia="仿宋" w:cs="仿宋"/>
          <w:color w:val="auto"/>
          <w:sz w:val="30"/>
          <w:szCs w:val="30"/>
          <w:shd w:val="clear" w:color="auto" w:fill="auto"/>
          <w:lang w:val="en-US" w:eastAsia="zh-CN"/>
        </w:rPr>
        <w:t>）应按绿化面积折算有效系数表要求，根据折算公示计算地面绿地面积，折算公式为：</w:t>
      </w:r>
    </w:p>
    <w:p>
      <w:pPr>
        <w:pStyle w:val="36"/>
        <w:keepNext w:val="0"/>
        <w:keepLines w:val="0"/>
        <w:pageBreakBefore w:val="0"/>
        <w:widowControl w:val="0"/>
        <w:kinsoku/>
        <w:wordWrap/>
        <w:overflowPunct/>
        <w:topLinePunct w:val="0"/>
        <w:autoSpaceDE/>
        <w:autoSpaceDN/>
        <w:bidi w:val="0"/>
        <w:adjustRightInd/>
        <w:snapToGrid/>
        <w:spacing w:line="240" w:lineRule="auto"/>
        <w:ind w:left="420" w:right="238" w:firstLine="0" w:firstLineChars="0"/>
        <w:jc w:val="center"/>
        <w:textAlignment w:val="auto"/>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i/>
          <w:color w:val="auto"/>
          <w:sz w:val="24"/>
          <w:szCs w:val="24"/>
          <w:shd w:val="clear" w:color="auto" w:fill="auto"/>
        </w:rPr>
        <w:t>F</w:t>
      </w:r>
      <w:r>
        <w:rPr>
          <w:rFonts w:hint="eastAsia" w:ascii="仿宋_GB2312" w:hAnsi="仿宋_GB2312" w:eastAsia="仿宋_GB2312" w:cs="仿宋_GB2312"/>
          <w:color w:val="auto"/>
          <w:sz w:val="24"/>
          <w:szCs w:val="24"/>
          <w:shd w:val="clear" w:color="auto" w:fill="auto"/>
        </w:rPr>
        <w:t>=</w:t>
      </w:r>
      <w:r>
        <w:rPr>
          <w:rFonts w:hint="eastAsia" w:ascii="仿宋_GB2312" w:hAnsi="仿宋_GB2312" w:eastAsia="仿宋_GB2312" w:cs="仿宋_GB2312"/>
          <w:i/>
          <w:color w:val="auto"/>
          <w:sz w:val="24"/>
          <w:szCs w:val="24"/>
          <w:shd w:val="clear" w:color="auto" w:fill="auto"/>
        </w:rPr>
        <w:t>M</w:t>
      </w:r>
      <w:r>
        <w:rPr>
          <w:rFonts w:hint="eastAsia" w:ascii="仿宋_GB2312" w:hAnsi="仿宋_GB2312" w:eastAsia="仿宋_GB2312" w:cs="仿宋_GB2312"/>
          <w:color w:val="auto"/>
          <w:sz w:val="24"/>
          <w:szCs w:val="24"/>
          <w:shd w:val="clear" w:color="auto" w:fill="auto"/>
        </w:rPr>
        <w:t>×</w:t>
      </w:r>
      <w:r>
        <w:rPr>
          <w:rFonts w:hint="eastAsia" w:ascii="仿宋_GB2312" w:hAnsi="仿宋_GB2312" w:eastAsia="仿宋_GB2312" w:cs="仿宋_GB2312"/>
          <w:i/>
          <w:color w:val="auto"/>
          <w:sz w:val="24"/>
          <w:szCs w:val="24"/>
          <w:shd w:val="clear" w:color="auto" w:fill="auto"/>
        </w:rPr>
        <w:t xml:space="preserve">N                    </w:t>
      </w:r>
    </w:p>
    <w:p>
      <w:pPr>
        <w:pStyle w:val="24"/>
        <w:keepNext w:val="0"/>
        <w:keepLines w:val="0"/>
        <w:pageBreakBefore w:val="0"/>
        <w:kinsoku/>
        <w:wordWrap/>
        <w:overflowPunct/>
        <w:topLinePunct w:val="0"/>
        <w:autoSpaceDE/>
        <w:autoSpaceDN/>
        <w:bidi w:val="0"/>
        <w:adjustRightInd/>
        <w:snapToGrid/>
        <w:spacing w:line="360" w:lineRule="auto"/>
        <w:ind w:left="420" w:firstLine="0" w:firstLineChars="0"/>
        <w:textAlignment w:val="auto"/>
        <w:rPr>
          <w:rFonts w:hint="eastAsia" w:ascii="仿宋_GB2312" w:hAnsi="仿宋_GB2312" w:eastAsia="仿宋_GB2312" w:cs="仿宋_GB2312"/>
          <w:color w:val="auto"/>
          <w:sz w:val="24"/>
          <w:szCs w:val="24"/>
          <w:shd w:val="clear" w:color="auto" w:fill="auto"/>
          <w:vertAlign w:val="superscript"/>
        </w:rPr>
      </w:pPr>
      <w:r>
        <w:rPr>
          <w:rFonts w:hint="eastAsia" w:ascii="仿宋_GB2312" w:hAnsi="仿宋_GB2312" w:eastAsia="仿宋_GB2312" w:cs="仿宋_GB2312"/>
          <w:color w:val="auto"/>
          <w:sz w:val="24"/>
          <w:szCs w:val="24"/>
          <w:shd w:val="clear" w:color="auto" w:fill="auto"/>
        </w:rPr>
        <w:t>公式中</w:t>
      </w:r>
      <w:r>
        <w:rPr>
          <w:rFonts w:hint="eastAsia" w:ascii="仿宋_GB2312" w:hAnsi="仿宋_GB2312" w:eastAsia="仿宋_GB2312" w:cs="仿宋_GB2312"/>
          <w:i/>
          <w:color w:val="auto"/>
          <w:sz w:val="24"/>
          <w:szCs w:val="24"/>
          <w:shd w:val="clear" w:color="auto" w:fill="auto"/>
        </w:rPr>
        <w:t>F——</w:t>
      </w:r>
      <w:r>
        <w:rPr>
          <w:rFonts w:hint="eastAsia" w:ascii="仿宋_GB2312" w:hAnsi="仿宋_GB2312" w:eastAsia="仿宋_GB2312" w:cs="仿宋_GB2312"/>
          <w:color w:val="auto"/>
          <w:sz w:val="24"/>
          <w:szCs w:val="24"/>
          <w:shd w:val="clear" w:color="auto" w:fill="auto"/>
        </w:rPr>
        <w:t>地面绿地面积，m</w:t>
      </w:r>
      <w:r>
        <w:rPr>
          <w:rFonts w:hint="eastAsia" w:ascii="仿宋_GB2312" w:hAnsi="仿宋_GB2312" w:eastAsia="仿宋_GB2312" w:cs="仿宋_GB2312"/>
          <w:color w:val="auto"/>
          <w:sz w:val="24"/>
          <w:szCs w:val="24"/>
          <w:shd w:val="clear" w:color="auto" w:fill="auto"/>
          <w:vertAlign w:val="superscript"/>
        </w:rPr>
        <w:t>2</w:t>
      </w:r>
      <w:r>
        <w:rPr>
          <w:rFonts w:hint="eastAsia" w:ascii="仿宋_GB2312" w:hAnsi="仿宋_GB2312" w:eastAsia="仿宋_GB2312" w:cs="仿宋_GB2312"/>
          <w:color w:val="auto"/>
          <w:sz w:val="24"/>
          <w:szCs w:val="24"/>
          <w:shd w:val="clear" w:color="auto" w:fill="auto"/>
        </w:rPr>
        <w:t>。</w:t>
      </w:r>
    </w:p>
    <w:p>
      <w:pPr>
        <w:pStyle w:val="24"/>
        <w:keepNext w:val="0"/>
        <w:keepLines w:val="0"/>
        <w:pageBreakBefore w:val="0"/>
        <w:kinsoku/>
        <w:wordWrap/>
        <w:overflowPunct/>
        <w:topLinePunct w:val="0"/>
        <w:autoSpaceDE/>
        <w:autoSpaceDN/>
        <w:bidi w:val="0"/>
        <w:adjustRightInd/>
        <w:snapToGrid/>
        <w:spacing w:line="360" w:lineRule="auto"/>
        <w:ind w:left="420" w:firstLine="0" w:firstLineChars="0"/>
        <w:textAlignment w:val="auto"/>
        <w:rPr>
          <w:rFonts w:hint="eastAsia" w:ascii="仿宋_GB2312" w:hAnsi="仿宋_GB2312" w:eastAsia="仿宋_GB2312" w:cs="仿宋_GB2312"/>
          <w:color w:val="auto"/>
          <w:sz w:val="24"/>
          <w:szCs w:val="24"/>
          <w:shd w:val="clear" w:color="auto" w:fill="auto"/>
          <w:vertAlign w:val="superscript"/>
        </w:rPr>
      </w:pPr>
      <w:r>
        <w:rPr>
          <w:rFonts w:hint="eastAsia" w:ascii="仿宋_GB2312" w:hAnsi="仿宋_GB2312" w:eastAsia="仿宋_GB2312" w:cs="仿宋_GB2312"/>
          <w:i/>
          <w:color w:val="auto"/>
          <w:sz w:val="24"/>
          <w:szCs w:val="24"/>
          <w:shd w:val="clear" w:color="auto" w:fill="auto"/>
        </w:rPr>
        <w:t>M——</w:t>
      </w:r>
      <w:r>
        <w:rPr>
          <w:rFonts w:hint="eastAsia" w:ascii="仿宋_GB2312" w:hAnsi="仿宋_GB2312" w:eastAsia="仿宋_GB2312" w:cs="仿宋_GB2312"/>
          <w:color w:val="auto"/>
          <w:sz w:val="24"/>
          <w:szCs w:val="24"/>
          <w:shd w:val="clear" w:color="auto" w:fill="auto"/>
        </w:rPr>
        <w:t>屋面地栽绿化面积，m</w:t>
      </w:r>
      <w:r>
        <w:rPr>
          <w:rFonts w:hint="eastAsia" w:ascii="仿宋_GB2312" w:hAnsi="仿宋_GB2312" w:eastAsia="仿宋_GB2312" w:cs="仿宋_GB2312"/>
          <w:color w:val="auto"/>
          <w:sz w:val="24"/>
          <w:szCs w:val="24"/>
          <w:shd w:val="clear" w:color="auto" w:fill="auto"/>
          <w:vertAlign w:val="superscript"/>
        </w:rPr>
        <w:t>2</w:t>
      </w:r>
      <w:r>
        <w:rPr>
          <w:rFonts w:hint="eastAsia" w:ascii="仿宋_GB2312" w:hAnsi="仿宋_GB2312" w:eastAsia="仿宋_GB2312" w:cs="仿宋_GB2312"/>
          <w:color w:val="auto"/>
          <w:sz w:val="24"/>
          <w:szCs w:val="24"/>
          <w:shd w:val="clear" w:color="auto" w:fill="auto"/>
        </w:rPr>
        <w:t>。</w:t>
      </w:r>
    </w:p>
    <w:p>
      <w:pPr>
        <w:pStyle w:val="24"/>
        <w:spacing w:line="420" w:lineRule="exact"/>
        <w:ind w:left="420" w:firstLine="0" w:firstLineChars="0"/>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N——有效系数（见表6-1）。</w:t>
      </w:r>
    </w:p>
    <w:p>
      <w:pPr>
        <w:spacing w:line="420" w:lineRule="exact"/>
        <w:jc w:val="center"/>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表3.11  绿化面积折算有效系数表</w:t>
      </w:r>
    </w:p>
    <w:tbl>
      <w:tblPr>
        <w:tblStyle w:val="1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64"/>
        <w:gridCol w:w="1985"/>
        <w:gridCol w:w="13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64"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屋面（顶板）标高与道路（地坪）的平均高差</w:t>
            </w:r>
            <w:r>
              <w:rPr>
                <w:rFonts w:hint="eastAsia" w:ascii="仿宋_GB2312" w:hAnsi="仿宋_GB2312" w:eastAsia="仿宋_GB2312" w:cs="仿宋_GB2312"/>
                <w:i/>
                <w:color w:val="auto"/>
                <w:sz w:val="24"/>
                <w:szCs w:val="24"/>
                <w:shd w:val="clear" w:color="auto" w:fill="auto"/>
              </w:rPr>
              <w:t>H</w:t>
            </w:r>
            <w:r>
              <w:rPr>
                <w:rFonts w:hint="eastAsia" w:ascii="仿宋_GB2312" w:hAnsi="仿宋_GB2312" w:eastAsia="仿宋_GB2312" w:cs="仿宋_GB2312"/>
                <w:color w:val="auto"/>
                <w:sz w:val="24"/>
                <w:szCs w:val="24"/>
                <w:shd w:val="clear" w:color="auto" w:fill="auto"/>
                <w:vertAlign w:val="subscript"/>
              </w:rPr>
              <w:t>0</w:t>
            </w:r>
            <w:r>
              <w:rPr>
                <w:rFonts w:hint="eastAsia" w:ascii="仿宋_GB2312" w:hAnsi="仿宋_GB2312" w:eastAsia="仿宋_GB2312" w:cs="仿宋_GB2312"/>
                <w:color w:val="auto"/>
                <w:sz w:val="24"/>
                <w:szCs w:val="24"/>
                <w:shd w:val="clear" w:color="auto" w:fill="auto"/>
              </w:rPr>
              <w:t>（m）</w:t>
            </w:r>
          </w:p>
        </w:tc>
        <w:tc>
          <w:tcPr>
            <w:tcW w:w="1985"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最小覆土厚度（m）</w:t>
            </w:r>
          </w:p>
        </w:tc>
        <w:tc>
          <w:tcPr>
            <w:tcW w:w="1330"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有效系数</w:t>
            </w:r>
            <w:r>
              <w:rPr>
                <w:rFonts w:hint="eastAsia" w:ascii="仿宋_GB2312" w:hAnsi="仿宋_GB2312" w:eastAsia="仿宋_GB2312" w:cs="仿宋_GB2312"/>
                <w:i/>
                <w:color w:val="auto"/>
                <w:sz w:val="24"/>
                <w:szCs w:val="24"/>
                <w:shd w:val="clear" w:color="auto" w:fill="auto"/>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64"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i/>
                <w:color w:val="auto"/>
                <w:sz w:val="24"/>
                <w:szCs w:val="24"/>
                <w:shd w:val="clear" w:color="auto" w:fill="auto"/>
              </w:rPr>
              <w:t>H</w:t>
            </w:r>
            <w:r>
              <w:rPr>
                <w:rFonts w:hint="eastAsia" w:ascii="仿宋_GB2312" w:hAnsi="仿宋_GB2312" w:eastAsia="仿宋_GB2312" w:cs="仿宋_GB2312"/>
                <w:color w:val="auto"/>
                <w:sz w:val="24"/>
                <w:szCs w:val="24"/>
                <w:shd w:val="clear" w:color="auto" w:fill="auto"/>
                <w:vertAlign w:val="subscript"/>
              </w:rPr>
              <w:t>0</w:t>
            </w:r>
            <w:r>
              <w:rPr>
                <w:rFonts w:hint="eastAsia" w:ascii="仿宋_GB2312" w:hAnsi="仿宋_GB2312" w:eastAsia="仿宋_GB2312" w:cs="仿宋_GB2312"/>
                <w:color w:val="auto"/>
                <w:sz w:val="24"/>
                <w:szCs w:val="24"/>
                <w:shd w:val="clear" w:color="auto" w:fill="auto"/>
              </w:rPr>
              <w:t>≤0.3</w:t>
            </w:r>
          </w:p>
        </w:tc>
        <w:tc>
          <w:tcPr>
            <w:tcW w:w="1985"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≥1.5</w:t>
            </w:r>
          </w:p>
        </w:tc>
        <w:tc>
          <w:tcPr>
            <w:tcW w:w="1330"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64"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0.3＜</w:t>
            </w:r>
            <w:r>
              <w:rPr>
                <w:rFonts w:hint="eastAsia" w:ascii="仿宋_GB2312" w:hAnsi="仿宋_GB2312" w:eastAsia="仿宋_GB2312" w:cs="仿宋_GB2312"/>
                <w:i/>
                <w:color w:val="auto"/>
                <w:sz w:val="24"/>
                <w:szCs w:val="24"/>
                <w:shd w:val="clear" w:color="auto" w:fill="auto"/>
              </w:rPr>
              <w:t>H</w:t>
            </w:r>
            <w:r>
              <w:rPr>
                <w:rFonts w:hint="eastAsia" w:ascii="仿宋_GB2312" w:hAnsi="仿宋_GB2312" w:eastAsia="仿宋_GB2312" w:cs="仿宋_GB2312"/>
                <w:color w:val="auto"/>
                <w:sz w:val="24"/>
                <w:szCs w:val="24"/>
                <w:shd w:val="clear" w:color="auto" w:fill="auto"/>
                <w:vertAlign w:val="subscript"/>
              </w:rPr>
              <w:t>0</w:t>
            </w:r>
            <w:r>
              <w:rPr>
                <w:rFonts w:hint="eastAsia" w:ascii="仿宋_GB2312" w:hAnsi="仿宋_GB2312" w:eastAsia="仿宋_GB2312" w:cs="仿宋_GB2312"/>
                <w:color w:val="auto"/>
                <w:sz w:val="24"/>
                <w:szCs w:val="24"/>
                <w:shd w:val="clear" w:color="auto" w:fill="auto"/>
              </w:rPr>
              <w:t>≤3.0</w:t>
            </w:r>
          </w:p>
        </w:tc>
        <w:tc>
          <w:tcPr>
            <w:tcW w:w="1985"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≥1.2</w:t>
            </w:r>
          </w:p>
        </w:tc>
        <w:tc>
          <w:tcPr>
            <w:tcW w:w="1330"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64"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3.0＜</w:t>
            </w:r>
            <w:r>
              <w:rPr>
                <w:rFonts w:hint="eastAsia" w:ascii="仿宋_GB2312" w:hAnsi="仿宋_GB2312" w:eastAsia="仿宋_GB2312" w:cs="仿宋_GB2312"/>
                <w:i/>
                <w:color w:val="auto"/>
                <w:sz w:val="24"/>
                <w:szCs w:val="24"/>
                <w:shd w:val="clear" w:color="auto" w:fill="auto"/>
              </w:rPr>
              <w:t>H</w:t>
            </w:r>
            <w:r>
              <w:rPr>
                <w:rFonts w:hint="eastAsia" w:ascii="仿宋_GB2312" w:hAnsi="仿宋_GB2312" w:eastAsia="仿宋_GB2312" w:cs="仿宋_GB2312"/>
                <w:color w:val="auto"/>
                <w:sz w:val="24"/>
                <w:szCs w:val="24"/>
                <w:shd w:val="clear" w:color="auto" w:fill="auto"/>
                <w:vertAlign w:val="subscript"/>
              </w:rPr>
              <w:t>0</w:t>
            </w:r>
            <w:r>
              <w:rPr>
                <w:rFonts w:hint="eastAsia" w:ascii="仿宋_GB2312" w:hAnsi="仿宋_GB2312" w:eastAsia="仿宋_GB2312" w:cs="仿宋_GB2312"/>
                <w:color w:val="auto"/>
                <w:sz w:val="24"/>
                <w:szCs w:val="24"/>
                <w:shd w:val="clear" w:color="auto" w:fill="auto"/>
              </w:rPr>
              <w:t>≤6.0</w:t>
            </w:r>
          </w:p>
        </w:tc>
        <w:tc>
          <w:tcPr>
            <w:tcW w:w="1985"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≥0.9</w:t>
            </w:r>
          </w:p>
        </w:tc>
        <w:tc>
          <w:tcPr>
            <w:tcW w:w="1330"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864"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6.0＜</w:t>
            </w:r>
            <w:r>
              <w:rPr>
                <w:rFonts w:hint="eastAsia" w:ascii="仿宋_GB2312" w:hAnsi="仿宋_GB2312" w:eastAsia="仿宋_GB2312" w:cs="仿宋_GB2312"/>
                <w:i/>
                <w:color w:val="auto"/>
                <w:sz w:val="24"/>
                <w:szCs w:val="24"/>
                <w:shd w:val="clear" w:color="auto" w:fill="auto"/>
              </w:rPr>
              <w:t>H</w:t>
            </w:r>
            <w:r>
              <w:rPr>
                <w:rFonts w:hint="eastAsia" w:ascii="仿宋_GB2312" w:hAnsi="仿宋_GB2312" w:eastAsia="仿宋_GB2312" w:cs="仿宋_GB2312"/>
                <w:color w:val="auto"/>
                <w:sz w:val="24"/>
                <w:szCs w:val="24"/>
                <w:shd w:val="clear" w:color="auto" w:fill="auto"/>
                <w:vertAlign w:val="subscript"/>
              </w:rPr>
              <w:t>0</w:t>
            </w:r>
            <w:r>
              <w:rPr>
                <w:rFonts w:hint="eastAsia" w:ascii="仿宋_GB2312" w:hAnsi="仿宋_GB2312" w:eastAsia="仿宋_GB2312" w:cs="仿宋_GB2312"/>
                <w:color w:val="auto"/>
                <w:sz w:val="24"/>
                <w:szCs w:val="24"/>
                <w:shd w:val="clear" w:color="auto" w:fill="auto"/>
              </w:rPr>
              <w:t>≤12.0</w:t>
            </w:r>
          </w:p>
        </w:tc>
        <w:tc>
          <w:tcPr>
            <w:tcW w:w="1985"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≥0.6</w:t>
            </w:r>
          </w:p>
        </w:tc>
        <w:tc>
          <w:tcPr>
            <w:tcW w:w="1330"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jc w:val="center"/>
        </w:trPr>
        <w:tc>
          <w:tcPr>
            <w:tcW w:w="4864"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i/>
                <w:color w:val="auto"/>
                <w:sz w:val="24"/>
                <w:szCs w:val="24"/>
                <w:shd w:val="clear" w:color="auto" w:fill="auto"/>
              </w:rPr>
              <w:t>H</w:t>
            </w:r>
            <w:r>
              <w:rPr>
                <w:rFonts w:hint="eastAsia" w:ascii="仿宋_GB2312" w:hAnsi="仿宋_GB2312" w:eastAsia="仿宋_GB2312" w:cs="仿宋_GB2312"/>
                <w:color w:val="auto"/>
                <w:sz w:val="24"/>
                <w:szCs w:val="24"/>
                <w:shd w:val="clear" w:color="auto" w:fill="auto"/>
                <w:vertAlign w:val="subscript"/>
              </w:rPr>
              <w:t>0</w:t>
            </w:r>
            <w:r>
              <w:rPr>
                <w:rFonts w:hint="eastAsia" w:ascii="仿宋_GB2312" w:hAnsi="仿宋_GB2312" w:eastAsia="仿宋_GB2312" w:cs="仿宋_GB2312"/>
                <w:color w:val="auto"/>
                <w:sz w:val="24"/>
                <w:szCs w:val="24"/>
                <w:shd w:val="clear" w:color="auto" w:fill="auto"/>
              </w:rPr>
              <w:t>＞12</w:t>
            </w:r>
          </w:p>
        </w:tc>
        <w:tc>
          <w:tcPr>
            <w:tcW w:w="1985"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≥0.3</w:t>
            </w:r>
          </w:p>
        </w:tc>
        <w:tc>
          <w:tcPr>
            <w:tcW w:w="1330" w:type="dxa"/>
            <w:vAlign w:val="center"/>
          </w:tcPr>
          <w:p>
            <w:pPr>
              <w:pStyle w:val="36"/>
              <w:snapToGrid w:val="0"/>
              <w:spacing w:line="276" w:lineRule="auto"/>
              <w:ind w:firstLine="0" w:firstLineChars="0"/>
              <w:jc w:val="center"/>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1" w:hRule="atLeast"/>
          <w:jc w:val="center"/>
        </w:trPr>
        <w:tc>
          <w:tcPr>
            <w:tcW w:w="8179" w:type="dxa"/>
            <w:gridSpan w:val="3"/>
            <w:vAlign w:val="center"/>
          </w:tcPr>
          <w:p>
            <w:pPr>
              <w:pStyle w:val="36"/>
              <w:snapToGrid w:val="0"/>
              <w:spacing w:line="276" w:lineRule="auto"/>
              <w:ind w:left="360" w:hanging="480" w:hangingChars="200"/>
              <w:rPr>
                <w:rFonts w:hint="eastAsia" w:ascii="仿宋_GB2312" w:hAnsi="仿宋_GB2312" w:eastAsia="仿宋_GB2312" w:cs="仿宋_GB2312"/>
                <w:color w:val="auto"/>
                <w:sz w:val="24"/>
                <w:szCs w:val="24"/>
                <w:shd w:val="clear" w:color="auto" w:fill="auto"/>
              </w:rPr>
            </w:pPr>
            <w:r>
              <w:rPr>
                <w:rFonts w:hint="eastAsia" w:ascii="仿宋_GB2312" w:hAnsi="仿宋_GB2312" w:eastAsia="仿宋_GB2312" w:cs="仿宋_GB2312"/>
                <w:color w:val="auto"/>
                <w:sz w:val="24"/>
                <w:szCs w:val="24"/>
                <w:shd w:val="clear" w:color="auto" w:fill="auto"/>
              </w:rPr>
              <w:t>注：高差一定的情况下，折算系数按最小覆土厚度相对应的数值取值；最小覆土厚度确定时，折算系数则按高差相对应的数值取值。</w:t>
            </w:r>
          </w:p>
        </w:tc>
      </w:tr>
    </w:tbl>
    <w:p>
      <w:pPr>
        <w:keepNext w:val="0"/>
        <w:keepLines w:val="0"/>
        <w:pageBreakBefore w:val="0"/>
        <w:widowControl/>
        <w:suppressLineNumbers w:val="0"/>
        <w:kinsoku/>
        <w:wordWrap/>
        <w:overflowPunct/>
        <w:topLinePunct w:val="0"/>
        <w:autoSpaceDE/>
        <w:bidi w:val="0"/>
        <w:spacing w:line="360" w:lineRule="auto"/>
        <w:jc w:val="left"/>
        <w:rPr>
          <w:color w:val="auto"/>
          <w:sz w:val="24"/>
          <w:szCs w:val="24"/>
          <w:shd w:val="clear" w:color="auto" w:fill="auto"/>
        </w:rPr>
      </w:pP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建筑基地内的建筑要按照有关规范做好人防设计、无障碍设计和节能减排设计，并与市政公用设施布局相适应。</w:t>
      </w:r>
      <w:r>
        <w:rPr>
          <w:rFonts w:hint="eastAsia" w:ascii="仿宋" w:hAnsi="仿宋" w:eastAsia="仿宋" w:cs="仿宋"/>
          <w:color w:val="auto"/>
          <w:sz w:val="30"/>
          <w:szCs w:val="30"/>
          <w:shd w:val="clear" w:color="auto" w:fill="auto"/>
          <w:lang w:val="en-US" w:eastAsia="zh-CN"/>
        </w:rPr>
        <w:t>根据《湘西自治州城乡特色风貌管控有关规定（试行）》（州自然资办发〔2020〕51号）中确定的区域或地段，其建筑基地内的建筑应突出民族特色。</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面积超过 0.5 公顷的水面应予以保护，可依据规划设计方案对岸线进行微调，但不得减少水面面积，面积小于0.5 公顷的水面应尽量予以保留和利用。</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原则上不得利用城市公共绿地的地面、地上和地下空间进行商业开发。确需在城市公共绿地地面以下进行建设的，须经相关程序审查，报县级以上人民政府审定后方可实施。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消防车登高操作场地和地面停车位不得占用城市公共绿地。</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高层建筑（住宅建筑除外）、重要及交通流量较大的公共建筑、城市重要景观节点和其它自然资源主管部门认定的地段, 必须在临建设用地的主要道路一侧或道路交叉口处设置广场，广场最小宽度应满足在第三章表 3.10 中建筑物退让城市道路边线距离的基础上增加2米以上且≥2米，广场的面积按下表要求控制。</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表3.12  建设项目广场广场设置面积表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8"/>
        <w:gridCol w:w="4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b/>
                <w:bCs/>
                <w:color w:val="auto"/>
                <w:kern w:val="0"/>
                <w:sz w:val="24"/>
                <w:szCs w:val="24"/>
                <w:shd w:val="clear" w:color="auto" w:fill="auto"/>
                <w:vertAlign w:val="baseline"/>
                <w:lang w:val="en-US" w:eastAsia="zh-CN" w:bidi="ar"/>
              </w:rPr>
            </w:pPr>
            <w:r>
              <w:rPr>
                <w:rFonts w:ascii="仿宋" w:hAnsi="仿宋" w:eastAsia="仿宋" w:cs="仿宋"/>
                <w:b/>
                <w:bCs/>
                <w:color w:val="auto"/>
                <w:kern w:val="0"/>
                <w:sz w:val="24"/>
                <w:szCs w:val="24"/>
                <w:shd w:val="clear" w:color="auto" w:fill="auto"/>
                <w:lang w:val="en-US" w:eastAsia="zh-CN" w:bidi="ar"/>
              </w:rPr>
              <w:t>项目净用地面积（平方米）</w:t>
            </w:r>
          </w:p>
        </w:tc>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b/>
                <w:bCs/>
                <w:color w:val="auto"/>
                <w:kern w:val="0"/>
                <w:sz w:val="24"/>
                <w:szCs w:val="24"/>
                <w:shd w:val="clear" w:color="auto" w:fill="auto"/>
                <w:vertAlign w:val="baseline"/>
                <w:lang w:val="en-US" w:eastAsia="zh-CN" w:bidi="ar"/>
              </w:rPr>
            </w:pPr>
            <w:r>
              <w:rPr>
                <w:rFonts w:ascii="仿宋" w:hAnsi="仿宋" w:eastAsia="仿宋" w:cs="仿宋"/>
                <w:b/>
                <w:bCs/>
                <w:color w:val="auto"/>
                <w:kern w:val="0"/>
                <w:sz w:val="24"/>
                <w:szCs w:val="24"/>
                <w:shd w:val="clear" w:color="auto" w:fill="auto"/>
                <w:lang w:val="en-US" w:eastAsia="zh-CN" w:bidi="ar"/>
              </w:rPr>
              <w:t>广场面积（平方米）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3000＜S</w:t>
            </w:r>
            <w:r>
              <w:rPr>
                <w:rFonts w:hint="eastAsia" w:ascii="仿宋" w:hAnsi="仿宋" w:eastAsia="仿宋" w:cs="仿宋"/>
                <w:color w:val="auto"/>
                <w:kern w:val="0"/>
                <w:sz w:val="24"/>
                <w:szCs w:val="24"/>
                <w:shd w:val="clear" w:color="auto" w:fill="auto"/>
                <w:lang w:val="en-US" w:eastAsia="zh-CN" w:bidi="ar"/>
              </w:rPr>
              <w:t>≤</w:t>
            </w:r>
            <w:r>
              <w:rPr>
                <w:rFonts w:ascii="仿宋" w:hAnsi="仿宋" w:eastAsia="仿宋" w:cs="仿宋"/>
                <w:color w:val="auto"/>
                <w:kern w:val="0"/>
                <w:sz w:val="24"/>
                <w:szCs w:val="24"/>
                <w:shd w:val="clear" w:color="auto" w:fill="auto"/>
                <w:lang w:val="en-US" w:eastAsia="zh-CN" w:bidi="ar"/>
              </w:rPr>
              <w:t>10000</w:t>
            </w:r>
          </w:p>
        </w:tc>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不小于基地面积的 10%且最低不小于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10000＜S</w:t>
            </w:r>
            <w:r>
              <w:rPr>
                <w:rFonts w:hint="eastAsia" w:ascii="仿宋" w:hAnsi="仿宋" w:eastAsia="仿宋" w:cs="仿宋"/>
                <w:color w:val="auto"/>
                <w:kern w:val="0"/>
                <w:sz w:val="24"/>
                <w:szCs w:val="24"/>
                <w:shd w:val="clear" w:color="auto" w:fill="auto"/>
                <w:lang w:val="en-US" w:eastAsia="zh-CN" w:bidi="ar"/>
              </w:rPr>
              <w:t>≤</w:t>
            </w:r>
            <w:r>
              <w:rPr>
                <w:rFonts w:ascii="仿宋" w:hAnsi="仿宋" w:eastAsia="仿宋" w:cs="仿宋"/>
                <w:color w:val="auto"/>
                <w:kern w:val="0"/>
                <w:sz w:val="24"/>
                <w:szCs w:val="24"/>
                <w:shd w:val="clear" w:color="auto" w:fill="auto"/>
                <w:lang w:val="en-US" w:eastAsia="zh-CN" w:bidi="ar"/>
              </w:rPr>
              <w:t>20000</w:t>
            </w:r>
          </w:p>
        </w:tc>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不小于基地面积的 8%且最低不小于 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20000＜S</w:t>
            </w:r>
            <w:r>
              <w:rPr>
                <w:rFonts w:hint="eastAsia" w:ascii="仿宋" w:hAnsi="仿宋" w:eastAsia="仿宋" w:cs="仿宋"/>
                <w:color w:val="auto"/>
                <w:kern w:val="0"/>
                <w:sz w:val="24"/>
                <w:szCs w:val="24"/>
                <w:shd w:val="clear" w:color="auto" w:fill="auto"/>
                <w:lang w:val="en-US" w:eastAsia="zh-CN" w:bidi="ar"/>
              </w:rPr>
              <w:t>≤</w:t>
            </w:r>
            <w:r>
              <w:rPr>
                <w:rFonts w:ascii="仿宋" w:hAnsi="仿宋" w:eastAsia="仿宋" w:cs="仿宋"/>
                <w:color w:val="auto"/>
                <w:kern w:val="0"/>
                <w:sz w:val="24"/>
                <w:szCs w:val="24"/>
                <w:shd w:val="clear" w:color="auto" w:fill="auto"/>
                <w:lang w:val="en-US" w:eastAsia="zh-CN" w:bidi="ar"/>
              </w:rPr>
              <w:t>50000</w:t>
            </w:r>
          </w:p>
        </w:tc>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不小于基地面积的 6%且最低不小于 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50000 以上</w:t>
            </w:r>
          </w:p>
        </w:tc>
        <w:tc>
          <w:tcPr>
            <w:tcW w:w="4658" w:type="dxa"/>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ascii="仿宋" w:hAnsi="仿宋" w:eastAsia="仿宋" w:cs="仿宋"/>
                <w:color w:val="auto"/>
                <w:kern w:val="0"/>
                <w:sz w:val="24"/>
                <w:szCs w:val="24"/>
                <w:shd w:val="clear" w:color="auto" w:fill="auto"/>
                <w:vertAlign w:val="baseline"/>
                <w:lang w:val="en-US" w:eastAsia="zh-CN" w:bidi="ar"/>
              </w:rPr>
            </w:pPr>
            <w:r>
              <w:rPr>
                <w:rFonts w:ascii="仿宋" w:hAnsi="仿宋" w:eastAsia="仿宋" w:cs="仿宋"/>
                <w:color w:val="auto"/>
                <w:kern w:val="0"/>
                <w:sz w:val="24"/>
                <w:szCs w:val="24"/>
                <w:shd w:val="clear" w:color="auto" w:fill="auto"/>
                <w:lang w:val="en-US" w:eastAsia="zh-CN" w:bidi="ar"/>
              </w:rPr>
              <w:t>不小于基地面积的 4%且最低不小于 3000</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kern w:val="0"/>
          <w:sz w:val="21"/>
          <w:szCs w:val="21"/>
          <w:shd w:val="clear" w:color="auto" w:fill="auto"/>
          <w:lang w:val="en-US" w:eastAsia="zh-CN" w:bidi="ar"/>
        </w:rPr>
        <w:t xml:space="preserve">注：1.如建设工程容积率 FAR≤4，则广场面积按表中规定控制；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kern w:val="0"/>
          <w:sz w:val="21"/>
          <w:szCs w:val="21"/>
          <w:shd w:val="clear" w:color="auto" w:fill="auto"/>
          <w:lang w:val="en-US" w:eastAsia="zh-CN" w:bidi="ar"/>
        </w:rPr>
        <w:t xml:space="preserve">2.如建设工程容积率 FAR＞4，则广场面积应按表中控制面积再乘以容积率系数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color w:val="auto"/>
          <w:kern w:val="0"/>
          <w:sz w:val="21"/>
          <w:szCs w:val="21"/>
          <w:shd w:val="clear" w:color="auto" w:fill="auto"/>
          <w:lang w:val="en-US" w:eastAsia="zh-CN" w:bidi="ar"/>
        </w:rPr>
      </w:pPr>
      <w:r>
        <w:rPr>
          <w:rFonts w:hint="eastAsia" w:ascii="仿宋" w:hAnsi="仿宋" w:eastAsia="仿宋" w:cs="仿宋"/>
          <w:color w:val="auto"/>
          <w:kern w:val="0"/>
          <w:sz w:val="21"/>
          <w:szCs w:val="21"/>
          <w:shd w:val="clear" w:color="auto" w:fill="auto"/>
          <w:lang w:val="en-US" w:eastAsia="zh-CN" w:bidi="ar"/>
        </w:rPr>
        <w:t>β，即广场面积 S =表中控制面积×β（β=FAR/4)。</w:t>
      </w:r>
    </w:p>
    <w:p>
      <w:pPr>
        <w:keepNext w:val="0"/>
        <w:keepLines w:val="0"/>
        <w:pageBreakBefore w:val="0"/>
        <w:widowControl/>
        <w:suppressLineNumbers w:val="0"/>
        <w:kinsoku/>
        <w:wordWrap/>
        <w:overflowPunct/>
        <w:topLinePunct w:val="0"/>
        <w:autoSpaceDE/>
        <w:bidi w:val="0"/>
        <w:spacing w:line="360" w:lineRule="auto"/>
        <w:ind w:firstLine="420" w:firstLineChars="200"/>
        <w:jc w:val="both"/>
        <w:rPr>
          <w:color w:val="auto"/>
          <w:shd w:val="clear" w:color="auto" w:fill="auto"/>
        </w:rPr>
      </w:pP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建设项目按规定设置的广场应保证其形状的规则、完整和实用，临道路一侧设置的广场其长宽比应≤2：1,临交叉口设置的广场形状宜为扇形、圆形、方形或其它形状规整的类似多边形。当所需配建广场总面积≥2000 平方米时可分散设置，但每个分散设置的广场最小面积应≥1000 平方米。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公共活动广场和建设项目广场周边宜种植具有地方特点的高大乔木，集中成片绿地不应小于广场总面积的20%,绿地率不低于40%,并宜设计成开放式绿地；车站、码头、机场的集散广场绿化配置宜疏朗通透，集中成片绿地不应小于广场总面积的 10%,绿地率不低于 30%；以休憩功能为主的城市绿化广场和休闲广场集中成片绿地不应小于广场总面积的 40%,绿地率不应小于 60%,植物宜种植高大乔木。</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与相邻城市道路或建筑室外地坪高差超过1.5 米的下沉式广场不属于按规定必须配置的建设项目广场。</w:t>
      </w:r>
      <w:r>
        <w:rPr>
          <w:rFonts w:hint="eastAsia" w:ascii="仿宋_GB2312" w:hAnsi="仿宋_GB2312" w:eastAsia="仿宋_GB2312" w:cs="仿宋_GB2312"/>
          <w:color w:val="auto"/>
          <w:sz w:val="30"/>
          <w:szCs w:val="30"/>
          <w:shd w:val="clear" w:color="auto" w:fill="auto"/>
          <w:lang w:val="en-US" w:eastAsia="zh-CN"/>
        </w:rPr>
        <w:t xml:space="preserve"> </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城市绿线内的用地不得计入建设项目的绿地率和广场面积。</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17" w:name="_Toc28960"/>
      <w:r>
        <w:rPr>
          <w:rFonts w:hint="eastAsia"/>
          <w:b w:val="0"/>
          <w:bCs/>
          <w:color w:val="auto"/>
          <w:shd w:val="clear" w:color="auto" w:fill="auto"/>
          <w:lang w:val="en-US" w:eastAsia="zh-CN"/>
        </w:rPr>
        <w:t>第五节  建筑其他规定</w:t>
      </w:r>
      <w:bookmarkEnd w:id="17"/>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bookmarkStart w:id="18" w:name="_Toc29030"/>
      <w:bookmarkStart w:id="19" w:name="_Toc51326499"/>
      <w:bookmarkStart w:id="20" w:name="_Toc19603"/>
      <w:bookmarkStart w:id="21" w:name="_Toc15129"/>
      <w:r>
        <w:rPr>
          <w:rFonts w:hint="eastAsia" w:ascii="仿宋_GB2312" w:hAnsi="仿宋_GB2312" w:eastAsia="仿宋_GB2312" w:cs="仿宋_GB2312"/>
          <w:color w:val="auto"/>
          <w:sz w:val="30"/>
          <w:szCs w:val="30"/>
          <w:shd w:val="clear" w:color="auto" w:fill="auto"/>
          <w:lang w:val="en-US" w:eastAsia="zh-CN"/>
        </w:rPr>
        <w:t>容积率计算</w:t>
      </w:r>
      <w:bookmarkEnd w:id="18"/>
      <w:bookmarkEnd w:id="19"/>
      <w:r>
        <w:rPr>
          <w:rFonts w:hint="eastAsia" w:ascii="仿宋_GB2312" w:hAnsi="仿宋_GB2312" w:eastAsia="仿宋_GB2312" w:cs="仿宋_GB2312"/>
          <w:color w:val="auto"/>
          <w:sz w:val="30"/>
          <w:szCs w:val="30"/>
          <w:shd w:val="clear" w:color="auto" w:fill="auto"/>
          <w:lang w:val="en-US" w:eastAsia="zh-CN"/>
        </w:rPr>
        <w:t>规则</w:t>
      </w:r>
      <w:bookmarkEnd w:id="20"/>
      <w:bookmarkEnd w:id="21"/>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1、容积率为在一定范围内，计容建筑面积总和与总用地面积的比值，容积率指标应精确到小数点后两位数。</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2、建筑层高计算原则上按建筑使用性质控制，但同层中除主要功能空间外的其他配套用房可按该层主要使用性质控制（如商场中配套办公用房按商业功能控制）。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3、各类商业铺面（网点）、普通商业建筑（含高层建筑裙房）的层高不宜超过5.6米，超过部分均按3.0米（余数进一取整)一层计算相应的层数、建筑面积和容积率。确因地形高差原因，部分沿街商铺层高超过 5.6 米的，须控制在沿街长度的1/3之内，否则超过部分均按3.0米（余数进一取整)一层计算相应的层数、建筑面积和容积率。</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居住建筑层高不宜超过3.6米，超过部分均按2.2米（余数进一取整）一层计算相应的层数、建筑面积和容积率。低多层住宅、复式（跃层式）住宅等其他同类型住宅户内的门厅、客厅、餐厅挑空部分的层高不宜超过该住宅标准层的两倍层高且不超过7.2 米，同时挑空部分面积不应超过该户底层套内建筑面积的40％，否则超过部分均按2.2米（余数进一取整）一层计算相应的层数、建筑面积和容积率｡</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5、小开间单元式设计的酒店类商业建筑标准层、普通办公建筑（含行政办公、文化设施、教育科研、医疗卫生、商业服务和商务办公等）层高均不宜超过 4.5米，超过部分均按3.0米（余数进一取整）一层计算相应的层数、建筑面积和容积率｡</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6、住宅、商业、办公、酒店等建筑首层的门厅、大厅、中庭等公共空间，食堂，办公和酒店的会议厅、宴会厅，单一空间建筑面积超过2000平方米的集中商业，因功能需要（如阶梯教室、舞蹈训练室、汽车维修护理间、垃圾焚烧间等）有较高层高要求的功能空间，影院、剧场、体育馆、展览馆等公共建筑，工业建筑，均不受上述层高规定控制，可按一层计算建筑面积和容积率。</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地下、半地下空间设置的车库、地下设备（配电间、水泵房、地下水池、空调机房等）、地下交通用房（楼梯间、电梯及前室）等设施用房建筑面积不计入容积率指标。作为其他性质使用的地下、半地下空间（商业开发用房等），若只能通过该建筑室内垂直交通（电梯、楼梯等）进入的折半计入容积率指标；由其他方式进入的则按全面积计入容积率指标。</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8、下列建筑面积可不计入容积率指标：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（1）建筑底层层高不小于3.0米的共享架空开放空间（包括利用地形高差设置的共享架空开放空间，作为小区业主公共体育、休闲等使用且不对社会进行销售、出租的）。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（2）建筑物顶部有围护结构的且不超过屋面1/8的楼梯间、电梯机房、风机房及管道井。</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（3）地面以上建设的机械立体停车库（位）。</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（4）建筑物内为整栋服务的设备管道层的管道区域、超高建筑避难层的避难区城、结构转换层的转换区域。</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9、建筑物顶部有围护结构且其正投影面积不超过建筑物中间层（标准层）投影面积1/8的楼梯间、电梯机房等辅助用房计入建筑面积，不计入容积率指标，超过1/8时则超出部分须计算建筑面积和容积率（包括无围护结构有永久性顶盖计算1/2面积的部分）。</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10、其他超出以上规定的，均按建筑面积计入容积率指标。</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建筑高度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1、建筑的高度除符合日照、建筑间距、消防等方面的要求外，还应符合本节规定。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2、城市主、次干路两侧建筑高度限制按审定的详细规划和城市设计确定。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3、在有净空高度限制的飞机场、气象台、电台和其他无线电通讯设施周围新建、改建建筑，其控制高度应符合有关净空高度限制的规定。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4、在历史文化街区文物保护单位和历史建筑周围新建、改建建筑， 其控制高度应符合历史文化保护的有关规定，并应编制详细规划、城市设计或建筑设计方案进行报批。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5、塑造宜人的街道宽高比，实现街道空间的舒适宜人。生活型街道宽高比应介于1:3-1:1之间，形成具有围合感、便于休闲及交流的空间；</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6、交通型街道两侧可适度开敞，宽高比宜控制在1:2-1:1之间。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7、地块建筑高度应与周边环境相协调。除地标性等特殊建筑外，临近山体的建筑高度宜保证山体的三分之一不被遮挡，临近重要水体的建筑高度不宜大于该建筑至蓝线的距离。</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8、建筑规模达到6万平方米及以上的高层住宅项目，应至少采用2个建筑高度层次（不含裙房及独立的小区配套服务建筑），且高度层次之间的差值应控制在 20%-50%之间。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建筑面宽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建筑高度大于24米、小于或等于54米时，其最大展开面宽不大于80米；建筑高度大于54米时，其最大展开面宽不大于70米。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滨水临山区等重要景观区域多层住宅面宽不宜大于55米，高层住宅面宽不宜大于40米。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建筑屋顶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建筑屋顶造型应当与城市天际轮廓线、周边环境相协调。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居住建筑女儿墙(含上人露台栏板)高度不得超过2.2米,电梯机房高度不超过6米为宜（消防、安全、建筑艺术造型等有特殊要求的除外）。确需突破的，应当经专题论证确定。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 xml:space="preserve">建筑屋顶造型应当与建筑主体协调统一。高层公共建筑屋顶应当结合功能优先采用退台、收分等。低、多层平屋顶建筑宜采用屋顶绿化等形式美化建筑第五立面。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 建筑形态</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建筑鼓励原创设计，要体现地域性、文化性、时代性和生态性，杜绝贪大、媚洋、求怪的建筑设计。鼓励高层居住建筑架空底层作为公共活动空间。</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建筑色彩与材质控制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建筑色彩应与当地气候、环境特征相协调，避免突兀。历史文化街区建筑基调色原则上以黑白灰为主色调，禁止使用饱和度高的颜色。其他区域建筑基调色以素雅为主。单栋建筑或同一组建筑的主要色彩不宜超过3种，同一街道、同一街区的建筑色彩应当相互协调。建筑材质应与自然环境、城市文化相融合，与建筑风格、使用功能相匹配。应使用环保节能的外墙材料，鼓励使用本土材料。</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绿色建筑</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全州城镇新建民用建筑全面执行《绿色建筑评价标准》和《绿色建筑设计与工程验收标准》，并应符合湘西自治州绿色建筑创建实施标准要求。</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1、定义</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以每户拥有面积不小于套内建筑面积的40%、高度不小于两个自然层的开敞式户属空中花园为基本配置的住宅，主要为空中户属庭院住宅和空中共享园林住宅两种类型。 </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2、经济技术指标计算</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绿色建筑建设项目各项经济技术指标的计算方法，应符合现行国家标准 《住宅设计规范》GB 50096和《建筑工程建筑面积计算规范》GB/T50353的有关规定，建设项目的容积率、绿地率和套内建筑面积等相关控制指标，应遵循《湖南省绿色建筑设计标准(征求意见稿)》相关要求。 </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3、绿色建筑建筑的长度和高度应符合下列规定：</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（1）应根据用地情况、城市界面等条件及要求合理确定建筑的长度与高度；</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（2）建筑的长度与高度应满足通风、采光、日照、规划、消防等要求；</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（3）宜采用单栋空中庭院住宅、双栋或三栋空中庭院住宅组合，不宜超过3栋拼接。</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4、建筑之间的防火间距应按建筑主体最外边缘计算，有户属空中花园的一侧应算到花园最外边缘，并应符合现行国家标准《建筑设计防火规范》GB 50016的有关规定。</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5、建筑之间的日照间距应符合现行国家标准《城市居住区规划设计标准》GB 50180的有关规定，日照计算应符合下列规定：</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（1）当绿色建筑为遮挡物时，日照计算的遮挡面应为户属空中花园的最外边缘；</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（2）当绿色建筑为被遮挡建筑时，日照计算的被遮挡面应为建筑主体外边缘。</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（3）空中共享平台的平面布局不应影响建筑主体的正常使用，且不应影响主体房间的采光。</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装配式建筑</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由预制部品部件在工地装配而成的建筑。装配式建筑除满足本规定外，还需符合《湖南省装配式建筑评价标准 DBJ43/T542-2022》的要求。</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绿色装配式建筑</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在项目全寿命周期，使用绿色建材，实施绿色建造(标准化设计、工厂化生产、装配化施工、一体化装修、信息化管理)，最大限度节能、节地、节材、节水、保护环境减少污染的装配式建筑。</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其他规定</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商业、办公类建筑（含研发类、不含酒店类）应符合以下规定：</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商业、办公类建筑内部平面不得按单元式或住宅套型设计，一般应采取公共走廊、公共卫生间式布局，卫生间、茶水间（饮水供应点）及各类型管井、烟道、风井等应集中设置，除集中设置的配套餐饮区域外，其它区域不得设置厨房及相应的燃气管道。</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2、办公和高层商业类建筑（不含裙房）如因功能需要，确需设置套内带独立卫生间的商业、办公单元，其每一分隔单元的建筑面积不得小于150平方米，且此类套间面积不得超过本层建筑面积的50%。</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3、高层商业建筑（不含裙房）采用分隔式单元布局的，层高按照办公建筑层高进行控制。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商业、办公类新建项目原则上不得设置围墙封闭；其他用地新建项目在满足安全、管理等要求下鼓励不设置围墙，对社会开放；鼓励开墙透绿或采用绿篱、绿植等形式进行空间分割，确需设置围墙的，应当结合整体景观统一设计透空型围墙。</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textAlignment w:val="auto"/>
        <w:rPr>
          <w:rFonts w:hint="eastAsia" w:ascii="仿宋" w:hAnsi="仿宋" w:eastAsia="仿宋" w:cs="仿宋"/>
          <w:color w:val="auto"/>
          <w:sz w:val="30"/>
          <w:szCs w:val="30"/>
          <w:shd w:val="clear" w:color="auto" w:fill="auto"/>
          <w:lang w:val="en-US" w:eastAsia="zh-CN"/>
        </w:rPr>
      </w:pPr>
    </w:p>
    <w:p>
      <w:pPr>
        <w:pStyle w:val="2"/>
        <w:pageBreakBefore w:val="0"/>
        <w:numPr>
          <w:ilvl w:val="0"/>
          <w:numId w:val="3"/>
        </w:numPr>
        <w:kinsoku/>
        <w:wordWrap/>
        <w:overflowPunct/>
        <w:topLinePunct w:val="0"/>
        <w:autoSpaceDE/>
        <w:bidi w:val="0"/>
        <w:spacing w:line="360" w:lineRule="auto"/>
        <w:ind w:firstLine="723" w:firstLineChars="200"/>
        <w:jc w:val="center"/>
        <w:rPr>
          <w:rFonts w:hint="eastAsia"/>
          <w:color w:val="auto"/>
          <w:sz w:val="36"/>
          <w:szCs w:val="36"/>
          <w:shd w:val="clear" w:color="auto" w:fill="auto"/>
          <w:lang w:val="en-US" w:eastAsia="zh-CN"/>
        </w:rPr>
      </w:pPr>
      <w:bookmarkStart w:id="22" w:name="_Toc26255"/>
      <w:r>
        <w:rPr>
          <w:rFonts w:hint="eastAsia"/>
          <w:color w:val="auto"/>
          <w:sz w:val="36"/>
          <w:szCs w:val="36"/>
          <w:shd w:val="clear" w:color="auto" w:fill="auto"/>
          <w:lang w:val="en-US" w:eastAsia="zh-CN"/>
        </w:rPr>
        <w:t>公共服务设施</w:t>
      </w:r>
      <w:bookmarkEnd w:id="22"/>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strike w:val="0"/>
          <w:dstrike w:val="0"/>
          <w:color w:val="auto"/>
          <w:sz w:val="30"/>
          <w:szCs w:val="30"/>
          <w:shd w:val="clear" w:color="auto" w:fill="auto"/>
          <w:lang w:val="en-US" w:eastAsia="zh-CN"/>
        </w:rPr>
      </w:pPr>
      <w:r>
        <w:rPr>
          <w:rFonts w:hint="eastAsia" w:ascii="仿宋_GB2312" w:hAnsi="仿宋_GB2312" w:eastAsia="仿宋_GB2312" w:cs="仿宋_GB2312"/>
          <w:strike w:val="0"/>
          <w:dstrike w:val="0"/>
          <w:color w:val="auto"/>
          <w:sz w:val="30"/>
          <w:szCs w:val="30"/>
          <w:shd w:val="clear" w:color="auto" w:fill="auto"/>
          <w:lang w:val="en-US" w:eastAsia="zh-CN"/>
        </w:rPr>
        <w:t>公共服务设施</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公共服务设施主要针对居住区级配套设施，不含市级、区级的配套设施。</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居住区公共服务设施分级</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_GB2312" w:hAnsi="仿宋_GB2312" w:eastAsia="仿宋_GB2312" w:cs="仿宋_GB2312"/>
          <w:color w:val="auto"/>
          <w:sz w:val="24"/>
          <w:szCs w:val="24"/>
          <w:shd w:val="clear" w:color="auto" w:fill="auto"/>
          <w:lang w:val="en-US" w:eastAsia="zh-CN"/>
        </w:rPr>
      </w:pPr>
      <w:r>
        <w:rPr>
          <w:rFonts w:hint="eastAsia" w:ascii="仿宋" w:hAnsi="仿宋" w:eastAsia="仿宋" w:cs="仿宋"/>
          <w:color w:val="auto"/>
          <w:sz w:val="30"/>
          <w:szCs w:val="30"/>
          <w:shd w:val="clear" w:color="auto" w:fill="auto"/>
          <w:lang w:val="en-US" w:eastAsia="zh-CN"/>
        </w:rPr>
        <w:t>居住区按照居民在合理的步行距离内满足基本生活需求的原则，分为十五分钟生活圈居住区、十分钟生活圈居住区、五分钟生活圈居住区、居住街坊四级配套设施，其分级控制规模符合表4.1的规定</w:t>
      </w:r>
      <w:r>
        <w:rPr>
          <w:rFonts w:hint="eastAsia" w:ascii="仿宋_GB2312" w:hAnsi="仿宋_GB2312" w:eastAsia="仿宋_GB2312" w:cs="仿宋_GB2312"/>
          <w:color w:val="auto"/>
          <w:sz w:val="30"/>
          <w:szCs w:val="30"/>
          <w:shd w:val="clear" w:color="auto" w:fill="auto"/>
          <w:lang w:val="en-US" w:eastAsia="zh-CN"/>
        </w:rPr>
        <w:t>。</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表4.1  居住区分级控制规模</w:t>
      </w:r>
    </w:p>
    <w:tbl>
      <w:tblPr>
        <w:tblStyle w:val="1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956"/>
        <w:gridCol w:w="1956"/>
        <w:gridCol w:w="183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965"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距离与规模</w:t>
            </w:r>
          </w:p>
        </w:tc>
        <w:tc>
          <w:tcPr>
            <w:tcW w:w="1050"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十五分钟生活圈居住区</w:t>
            </w:r>
          </w:p>
        </w:tc>
        <w:tc>
          <w:tcPr>
            <w:tcW w:w="1050"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十分钟生活圈</w:t>
            </w:r>
          </w:p>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居住区</w:t>
            </w:r>
          </w:p>
        </w:tc>
        <w:tc>
          <w:tcPr>
            <w:tcW w:w="986"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五分钟生活圈</w:t>
            </w:r>
          </w:p>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居住区</w:t>
            </w:r>
          </w:p>
        </w:tc>
        <w:tc>
          <w:tcPr>
            <w:tcW w:w="947"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居住街坊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5"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步行的距离（m）</w:t>
            </w:r>
          </w:p>
        </w:tc>
        <w:tc>
          <w:tcPr>
            <w:tcW w:w="1050"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800-1000</w:t>
            </w:r>
          </w:p>
        </w:tc>
        <w:tc>
          <w:tcPr>
            <w:tcW w:w="1050"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500</w:t>
            </w:r>
          </w:p>
        </w:tc>
        <w:tc>
          <w:tcPr>
            <w:tcW w:w="986"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300</w:t>
            </w:r>
          </w:p>
        </w:tc>
        <w:tc>
          <w:tcPr>
            <w:tcW w:w="947"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5"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居住人口（人）</w:t>
            </w:r>
          </w:p>
        </w:tc>
        <w:tc>
          <w:tcPr>
            <w:tcW w:w="1050"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36000-80000</w:t>
            </w:r>
          </w:p>
        </w:tc>
        <w:tc>
          <w:tcPr>
            <w:tcW w:w="1050"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12000-20000</w:t>
            </w:r>
          </w:p>
        </w:tc>
        <w:tc>
          <w:tcPr>
            <w:tcW w:w="986"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4000-10000</w:t>
            </w:r>
          </w:p>
        </w:tc>
        <w:tc>
          <w:tcPr>
            <w:tcW w:w="947" w:type="pct"/>
            <w:vAlign w:val="center"/>
          </w:tcPr>
          <w:p>
            <w:pPr>
              <w:pStyle w:val="11"/>
              <w:keepNext w:val="0"/>
              <w:keepLines w:val="0"/>
              <w:pageBreakBefore w:val="0"/>
              <w:widowControl/>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1000-2500</w:t>
            </w:r>
          </w:p>
        </w:tc>
      </w:tr>
    </w:tbl>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配建原则</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配套设施应遵循配套建设、方便使用、统筹开放、兼顾发展的原则进行配置，其布局应遵循集中和分散兼顾、独立和混合使用并重的原则，并应符合《城市居住区规划设计标准》（GB50180-2018）的有关规定。</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配套设施分类</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对应居住区分级配套规划建设，并与居住人口规模或住宅建筑面积规模相匹配的生活服务设施；主要包括基层公共管理与公共服务设施、商业服务业设施、市政公用设施、交通场站及社区服务设施、便民服务设施。</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配套设施用地面积与千人指标</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配套设施用地及建筑面积指标，应按照居住区分级对应的居住人口规模进行控制，并符合表4.2的规定。</w:t>
      </w:r>
    </w:p>
    <w:p>
      <w:pPr>
        <w:keepNext w:val="0"/>
        <w:keepLines w:val="0"/>
        <w:pageBreakBefore w:val="0"/>
        <w:widowControl w:val="0"/>
        <w:kinsoku/>
        <w:wordWrap/>
        <w:overflowPunct/>
        <w:topLinePunct w:val="0"/>
        <w:autoSpaceDE/>
        <w:bidi w:val="0"/>
        <w:adjustRightInd/>
        <w:snapToGrid/>
        <w:spacing w:line="360" w:lineRule="auto"/>
        <w:ind w:firstLine="0" w:firstLineChars="0"/>
        <w:jc w:val="center"/>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表4.2  配套设施控制指标(㎡/千人)</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1361"/>
        <w:gridCol w:w="995"/>
        <w:gridCol w:w="997"/>
        <w:gridCol w:w="995"/>
        <w:gridCol w:w="982"/>
        <w:gridCol w:w="926"/>
        <w:gridCol w:w="897"/>
        <w:gridCol w:w="1010"/>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5" w:hRule="atLeast"/>
        </w:trPr>
        <w:tc>
          <w:tcPr>
            <w:tcW w:w="745" w:type="pct"/>
            <w:vMerge w:val="restar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top"/>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类别</w:t>
            </w:r>
          </w:p>
        </w:tc>
        <w:tc>
          <w:tcPr>
            <w:tcW w:w="1091" w:type="pct"/>
            <w:gridSpan w:val="2"/>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十五分钟生活圈</w:t>
            </w:r>
          </w:p>
        </w:tc>
        <w:tc>
          <w:tcPr>
            <w:tcW w:w="1083" w:type="pct"/>
            <w:gridSpan w:val="2"/>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十分钟生活圈</w:t>
            </w:r>
          </w:p>
        </w:tc>
        <w:tc>
          <w:tcPr>
            <w:tcW w:w="998" w:type="pct"/>
            <w:gridSpan w:val="2"/>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五分钟生活圈</w:t>
            </w:r>
          </w:p>
        </w:tc>
        <w:tc>
          <w:tcPr>
            <w:tcW w:w="1080" w:type="pct"/>
            <w:gridSpan w:val="2"/>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居住街坊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5" w:hRule="atLeast"/>
        </w:trPr>
        <w:tc>
          <w:tcPr>
            <w:tcW w:w="745" w:type="pct"/>
            <w:vMerge w:val="continue"/>
            <w:noWrap w:val="0"/>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eastAsia" w:ascii="仿宋" w:hAnsi="仿宋" w:eastAsia="仿宋" w:cs="仿宋"/>
                <w:b/>
                <w:bCs/>
                <w:color w:val="auto"/>
                <w:sz w:val="24"/>
                <w:szCs w:val="24"/>
                <w:shd w:val="clear" w:color="auto" w:fill="auto"/>
              </w:rPr>
            </w:pP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用地面积</w:t>
            </w:r>
          </w:p>
        </w:tc>
        <w:tc>
          <w:tcPr>
            <w:tcW w:w="546"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建筑面积</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用地面积</w:t>
            </w:r>
          </w:p>
        </w:tc>
        <w:tc>
          <w:tcPr>
            <w:tcW w:w="53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建筑面积</w:t>
            </w:r>
          </w:p>
        </w:tc>
        <w:tc>
          <w:tcPr>
            <w:tcW w:w="50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用地面积</w:t>
            </w:r>
          </w:p>
        </w:tc>
        <w:tc>
          <w:tcPr>
            <w:tcW w:w="490"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建筑面积</w:t>
            </w:r>
          </w:p>
        </w:tc>
        <w:tc>
          <w:tcPr>
            <w:tcW w:w="553"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用地面积</w:t>
            </w:r>
          </w:p>
        </w:tc>
        <w:tc>
          <w:tcPr>
            <w:tcW w:w="52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85" w:hRule="atLeast"/>
        </w:trPr>
        <w:tc>
          <w:tcPr>
            <w:tcW w:w="7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公共管理与</w:t>
            </w:r>
          </w:p>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公共服务设施</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top"/>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1250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2360</w:t>
            </w:r>
          </w:p>
        </w:tc>
        <w:tc>
          <w:tcPr>
            <w:tcW w:w="546"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1130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1380</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1890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2340</w:t>
            </w:r>
          </w:p>
        </w:tc>
        <w:tc>
          <w:tcPr>
            <w:tcW w:w="53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730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810</w:t>
            </w:r>
          </w:p>
        </w:tc>
        <w:tc>
          <w:tcPr>
            <w:tcW w:w="50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0"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53"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337" w:hRule="atLeast"/>
        </w:trPr>
        <w:tc>
          <w:tcPr>
            <w:tcW w:w="7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社区服务设施</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46"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3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0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710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2210</w:t>
            </w:r>
          </w:p>
        </w:tc>
        <w:tc>
          <w:tcPr>
            <w:tcW w:w="490"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1070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1820</w:t>
            </w:r>
          </w:p>
        </w:tc>
        <w:tc>
          <w:tcPr>
            <w:tcW w:w="553"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337" w:hRule="atLeast"/>
        </w:trPr>
        <w:tc>
          <w:tcPr>
            <w:tcW w:w="7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便民服务设施</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46"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45"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3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0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0"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53"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lang w:val="en-US" w:eastAsia="zh-CN"/>
              </w:rPr>
              <w:t>50</w:t>
            </w:r>
            <w:r>
              <w:rPr>
                <w:rFonts w:hint="eastAsia" w:ascii="仿宋" w:hAnsi="仿宋" w:eastAsia="仿宋" w:cs="仿宋"/>
                <w:color w:val="auto"/>
                <w:sz w:val="24"/>
                <w:szCs w:val="24"/>
                <w:shd w:val="clear" w:color="auto" w:fill="auto"/>
              </w:rPr>
              <w:t>～</w:t>
            </w:r>
            <w:r>
              <w:rPr>
                <w:rFonts w:hint="eastAsia" w:ascii="仿宋" w:hAnsi="仿宋" w:eastAsia="仿宋" w:cs="仿宋"/>
                <w:color w:val="auto"/>
                <w:sz w:val="24"/>
                <w:szCs w:val="24"/>
                <w:shd w:val="clear" w:color="auto" w:fill="auto"/>
                <w:lang w:val="en-US" w:eastAsia="zh-CN"/>
              </w:rPr>
              <w:t>15</w:t>
            </w:r>
            <w:r>
              <w:rPr>
                <w:rFonts w:hint="eastAsia" w:ascii="仿宋" w:hAnsi="仿宋" w:eastAsia="仿宋" w:cs="仿宋"/>
                <w:color w:val="auto"/>
                <w:sz w:val="24"/>
                <w:szCs w:val="24"/>
                <w:shd w:val="clear" w:color="auto" w:fill="auto"/>
              </w:rPr>
              <w:t>0</w:t>
            </w:r>
          </w:p>
        </w:tc>
        <w:tc>
          <w:tcPr>
            <w:tcW w:w="527" w:type="pct"/>
            <w:noWrap w:val="0"/>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8</w:t>
            </w: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90</w:t>
            </w:r>
          </w:p>
        </w:tc>
      </w:tr>
    </w:tbl>
    <w:p>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textAlignment w:val="auto"/>
        <w:rPr>
          <w:rFonts w:hint="eastAsia" w:ascii="仿宋" w:hAnsi="仿宋" w:eastAsia="仿宋" w:cs="仿宋"/>
          <w:color w:val="auto"/>
          <w:kern w:val="0"/>
          <w:sz w:val="21"/>
          <w:szCs w:val="21"/>
          <w:shd w:val="clear" w:color="auto" w:fill="auto"/>
        </w:rPr>
      </w:pPr>
      <w:r>
        <w:rPr>
          <w:rFonts w:hint="eastAsia" w:ascii="仿宋" w:hAnsi="仿宋" w:eastAsia="仿宋" w:cs="仿宋"/>
          <w:color w:val="auto"/>
          <w:kern w:val="0"/>
          <w:sz w:val="21"/>
          <w:szCs w:val="21"/>
          <w:shd w:val="clear" w:color="auto" w:fill="auto"/>
        </w:rPr>
        <w:t>注：1</w:t>
      </w:r>
      <w:r>
        <w:rPr>
          <w:rFonts w:hint="eastAsia" w:ascii="仿宋" w:hAnsi="仿宋" w:eastAsia="仿宋" w:cs="仿宋"/>
          <w:color w:val="auto"/>
          <w:kern w:val="0"/>
          <w:sz w:val="21"/>
          <w:szCs w:val="21"/>
          <w:shd w:val="clear" w:color="auto" w:fill="auto"/>
          <w:lang w:val="en-US" w:eastAsia="zh-CN"/>
        </w:rPr>
        <w:t>.</w:t>
      </w:r>
      <w:r>
        <w:rPr>
          <w:rFonts w:hint="eastAsia" w:ascii="仿宋" w:hAnsi="仿宋" w:eastAsia="仿宋" w:cs="仿宋"/>
          <w:color w:val="auto"/>
          <w:kern w:val="0"/>
          <w:sz w:val="21"/>
          <w:szCs w:val="21"/>
          <w:shd w:val="clear" w:color="auto" w:fill="auto"/>
        </w:rPr>
        <w:t>十五分钟生活圈指标不含十分钟生活圈</w:t>
      </w:r>
      <w:r>
        <w:rPr>
          <w:rFonts w:hint="eastAsia" w:ascii="仿宋" w:hAnsi="仿宋" w:eastAsia="仿宋" w:cs="仿宋"/>
          <w:color w:val="auto"/>
          <w:kern w:val="0"/>
          <w:sz w:val="21"/>
          <w:szCs w:val="21"/>
          <w:shd w:val="clear" w:color="auto" w:fill="auto"/>
          <w:lang w:eastAsia="zh-CN"/>
        </w:rPr>
        <w:t>居住区</w:t>
      </w:r>
      <w:r>
        <w:rPr>
          <w:rFonts w:hint="eastAsia" w:ascii="仿宋" w:hAnsi="仿宋" w:eastAsia="仿宋" w:cs="仿宋"/>
          <w:color w:val="auto"/>
          <w:kern w:val="0"/>
          <w:sz w:val="21"/>
          <w:szCs w:val="21"/>
          <w:shd w:val="clear" w:color="auto" w:fill="auto"/>
        </w:rPr>
        <w:t>指标，十分钟生活圈</w:t>
      </w:r>
      <w:r>
        <w:rPr>
          <w:rFonts w:hint="eastAsia" w:ascii="仿宋" w:hAnsi="仿宋" w:eastAsia="仿宋" w:cs="仿宋"/>
          <w:color w:val="auto"/>
          <w:kern w:val="0"/>
          <w:sz w:val="21"/>
          <w:szCs w:val="21"/>
          <w:shd w:val="clear" w:color="auto" w:fill="auto"/>
          <w:lang w:eastAsia="zh-CN"/>
        </w:rPr>
        <w:t>居住区</w:t>
      </w:r>
      <w:r>
        <w:rPr>
          <w:rFonts w:hint="eastAsia" w:ascii="仿宋" w:hAnsi="仿宋" w:eastAsia="仿宋" w:cs="仿宋"/>
          <w:color w:val="auto"/>
          <w:kern w:val="0"/>
          <w:sz w:val="21"/>
          <w:szCs w:val="21"/>
          <w:shd w:val="clear" w:color="auto" w:fill="auto"/>
        </w:rPr>
        <w:t>指标不含五分钟生活圈</w:t>
      </w:r>
      <w:r>
        <w:rPr>
          <w:rFonts w:hint="eastAsia" w:ascii="仿宋" w:hAnsi="仿宋" w:eastAsia="仿宋" w:cs="仿宋"/>
          <w:color w:val="auto"/>
          <w:kern w:val="0"/>
          <w:sz w:val="21"/>
          <w:szCs w:val="21"/>
          <w:shd w:val="clear" w:color="auto" w:fill="auto"/>
          <w:lang w:eastAsia="zh-CN"/>
        </w:rPr>
        <w:t>居住区</w:t>
      </w:r>
      <w:r>
        <w:rPr>
          <w:rFonts w:hint="eastAsia" w:ascii="仿宋" w:hAnsi="仿宋" w:eastAsia="仿宋" w:cs="仿宋"/>
          <w:color w:val="auto"/>
          <w:kern w:val="0"/>
          <w:sz w:val="21"/>
          <w:szCs w:val="21"/>
          <w:shd w:val="clear" w:color="auto" w:fill="auto"/>
        </w:rPr>
        <w:t>指标，五分钟生活圈</w:t>
      </w:r>
      <w:r>
        <w:rPr>
          <w:rFonts w:hint="eastAsia" w:ascii="仿宋" w:hAnsi="仿宋" w:eastAsia="仿宋" w:cs="仿宋"/>
          <w:color w:val="auto"/>
          <w:kern w:val="0"/>
          <w:sz w:val="21"/>
          <w:szCs w:val="21"/>
          <w:shd w:val="clear" w:color="auto" w:fill="auto"/>
          <w:lang w:eastAsia="zh-CN"/>
        </w:rPr>
        <w:t>居住区</w:t>
      </w:r>
      <w:r>
        <w:rPr>
          <w:rFonts w:hint="eastAsia" w:ascii="仿宋" w:hAnsi="仿宋" w:eastAsia="仿宋" w:cs="仿宋"/>
          <w:color w:val="auto"/>
          <w:kern w:val="0"/>
          <w:sz w:val="21"/>
          <w:szCs w:val="21"/>
          <w:shd w:val="clear" w:color="auto" w:fill="auto"/>
        </w:rPr>
        <w:t>指标不含居住街坊指标。</w:t>
      </w:r>
    </w:p>
    <w:p>
      <w:pPr>
        <w:keepNext w:val="0"/>
        <w:keepLines w:val="0"/>
        <w:pageBreakBefore w:val="0"/>
        <w:widowControl/>
        <w:kinsoku/>
        <w:wordWrap/>
        <w:overflowPunct/>
        <w:topLinePunct w:val="0"/>
        <w:autoSpaceDE/>
        <w:autoSpaceDN/>
        <w:bidi w:val="0"/>
        <w:adjustRightInd/>
        <w:snapToGrid/>
        <w:spacing w:line="240" w:lineRule="auto"/>
        <w:ind w:left="0" w:leftChars="0" w:firstLine="420" w:firstLineChars="200"/>
        <w:textAlignment w:val="auto"/>
        <w:rPr>
          <w:rFonts w:hint="eastAsia" w:ascii="仿宋" w:hAnsi="仿宋" w:eastAsia="仿宋" w:cs="仿宋"/>
          <w:color w:val="auto"/>
          <w:kern w:val="0"/>
          <w:sz w:val="21"/>
          <w:szCs w:val="21"/>
          <w:shd w:val="clear" w:color="auto" w:fill="auto"/>
          <w:lang w:val="en-US" w:eastAsia="zh-CN"/>
        </w:rPr>
      </w:pPr>
      <w:r>
        <w:rPr>
          <w:rFonts w:hint="eastAsia" w:ascii="仿宋" w:hAnsi="仿宋" w:eastAsia="仿宋" w:cs="仿宋"/>
          <w:color w:val="auto"/>
          <w:kern w:val="0"/>
          <w:sz w:val="21"/>
          <w:szCs w:val="21"/>
          <w:shd w:val="clear" w:color="auto" w:fill="auto"/>
        </w:rPr>
        <w:t>2</w:t>
      </w:r>
      <w:r>
        <w:rPr>
          <w:rFonts w:hint="eastAsia" w:ascii="仿宋" w:hAnsi="仿宋" w:eastAsia="仿宋" w:cs="仿宋"/>
          <w:color w:val="auto"/>
          <w:kern w:val="0"/>
          <w:sz w:val="21"/>
          <w:szCs w:val="21"/>
          <w:shd w:val="clear" w:color="auto" w:fill="auto"/>
          <w:lang w:val="en-US" w:eastAsia="zh-CN"/>
        </w:rPr>
        <w:t>.配套设施用地应含与居住区分级对应的居民室外活动场所用地;未含高中用地、市政公用设施用地，市政公用设施应根据专项规划确定。</w:t>
      </w:r>
    </w:p>
    <w:p>
      <w:pPr>
        <w:pStyle w:val="18"/>
        <w:keepNext/>
        <w:keepLines/>
        <w:pageBreakBefore w:val="0"/>
        <w:widowControl w:val="0"/>
        <w:kinsoku/>
        <w:wordWrap/>
        <w:overflowPunct/>
        <w:topLinePunct w:val="0"/>
        <w:autoSpaceDE/>
        <w:autoSpaceDN/>
        <w:bidi w:val="0"/>
        <w:adjustRightInd/>
        <w:snapToGrid/>
        <w:spacing w:before="0" w:after="0"/>
        <w:textAlignment w:val="auto"/>
        <w:rPr>
          <w:rFonts w:hint="eastAsia" w:ascii="仿宋" w:hAnsi="仿宋" w:eastAsia="仿宋" w:cs="仿宋"/>
          <w:color w:val="auto"/>
          <w:sz w:val="21"/>
          <w:szCs w:val="21"/>
          <w:shd w:val="clear" w:color="auto" w:fill="auto"/>
          <w:lang w:val="en-US" w:eastAsia="zh-CN"/>
        </w:rPr>
      </w:pP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十五分钟生活圈居住区配套设施规划设置规定和建设控制要求，并符合表4.3的规定。</w:t>
      </w:r>
    </w:p>
    <w:p>
      <w:pPr>
        <w:keepNext w:val="0"/>
        <w:keepLines w:val="0"/>
        <w:pageBreakBefore w:val="0"/>
        <w:kinsoku/>
        <w:wordWrap/>
        <w:overflowPunct/>
        <w:topLinePunct w:val="0"/>
        <w:autoSpaceDE/>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表4.3  十五分钟生活圈居住区配套设施规划建设控制要求</w:t>
      </w:r>
    </w:p>
    <w:tbl>
      <w:tblPr>
        <w:tblStyle w:val="12"/>
        <w:tblpPr w:leftFromText="180" w:rightFromText="180" w:vertAnchor="text" w:horzAnchor="page" w:tblpX="1485" w:tblpY="89"/>
        <w:tblOverlap w:val="never"/>
        <w:tblW w:w="51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6"/>
        <w:gridCol w:w="1324"/>
        <w:gridCol w:w="774"/>
        <w:gridCol w:w="2899"/>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trPr>
        <w:tc>
          <w:tcPr>
            <w:tcW w:w="541"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设施</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名称</w:t>
            </w:r>
          </w:p>
        </w:tc>
        <w:tc>
          <w:tcPr>
            <w:tcW w:w="698"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kern w:val="24"/>
                <w:sz w:val="24"/>
                <w:szCs w:val="24"/>
                <w:shd w:val="clear" w:color="auto" w:fill="auto"/>
              </w:rPr>
              <w:t>服务内容</w:t>
            </w:r>
          </w:p>
        </w:tc>
        <w:tc>
          <w:tcPr>
            <w:tcW w:w="408"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b/>
                <w:bCs/>
                <w:color w:val="auto"/>
                <w:sz w:val="24"/>
                <w:szCs w:val="24"/>
                <w:shd w:val="clear" w:color="auto" w:fill="auto"/>
                <w:lang w:eastAsia="zh-CN"/>
              </w:rPr>
            </w:pPr>
            <w:r>
              <w:rPr>
                <w:rFonts w:hint="eastAsia" w:ascii="仿宋" w:hAnsi="仿宋" w:eastAsia="仿宋" w:cs="仿宋"/>
                <w:b/>
                <w:bCs/>
                <w:color w:val="auto"/>
                <w:sz w:val="24"/>
                <w:szCs w:val="24"/>
                <w:shd w:val="clear" w:color="auto" w:fill="auto"/>
                <w:lang w:eastAsia="zh-CN"/>
              </w:rPr>
              <w:t>配建必要性</w:t>
            </w:r>
          </w:p>
        </w:tc>
        <w:tc>
          <w:tcPr>
            <w:tcW w:w="1528"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b/>
                <w:bCs/>
                <w:color w:val="auto"/>
                <w:kern w:val="24"/>
                <w:sz w:val="24"/>
                <w:szCs w:val="24"/>
                <w:shd w:val="clear" w:color="auto" w:fill="auto"/>
                <w:lang w:eastAsia="zh-CN"/>
              </w:rPr>
            </w:pPr>
            <w:r>
              <w:rPr>
                <w:rFonts w:hint="eastAsia" w:ascii="仿宋" w:hAnsi="仿宋" w:eastAsia="仿宋" w:cs="仿宋"/>
                <w:b/>
                <w:bCs/>
                <w:color w:val="auto"/>
                <w:kern w:val="24"/>
                <w:sz w:val="24"/>
                <w:szCs w:val="24"/>
                <w:shd w:val="clear" w:color="auto" w:fill="auto"/>
                <w:lang w:eastAsia="zh-CN"/>
              </w:rPr>
              <w:t>配置要求</w:t>
            </w:r>
          </w:p>
        </w:tc>
        <w:tc>
          <w:tcPr>
            <w:tcW w:w="1823"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b/>
                <w:bCs/>
                <w:color w:val="auto"/>
                <w:kern w:val="24"/>
                <w:sz w:val="24"/>
                <w:szCs w:val="24"/>
                <w:shd w:val="clear" w:color="auto" w:fill="auto"/>
                <w:lang w:eastAsia="zh-CN"/>
              </w:rPr>
            </w:pPr>
            <w:r>
              <w:rPr>
                <w:rFonts w:hint="eastAsia" w:ascii="仿宋" w:hAnsi="仿宋" w:eastAsia="仿宋" w:cs="仿宋"/>
                <w:b/>
                <w:bCs/>
                <w:color w:val="auto"/>
                <w:kern w:val="24"/>
                <w:sz w:val="24"/>
                <w:szCs w:val="24"/>
                <w:shd w:val="clear" w:color="auto" w:fil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1"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698"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408"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lang w:eastAsia="zh-CN"/>
              </w:rPr>
            </w:pPr>
          </w:p>
        </w:tc>
        <w:tc>
          <w:tcPr>
            <w:tcW w:w="1528"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c>
          <w:tcPr>
            <w:tcW w:w="1823"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kern w:val="24"/>
                <w:sz w:val="24"/>
                <w:szCs w:val="24"/>
                <w:shd w:val="clear" w:color="auto" w:fill="auto"/>
              </w:rPr>
              <w:t>初中</w:t>
            </w:r>
            <w:r>
              <w:rPr>
                <w:rFonts w:hint="eastAsia" w:ascii="仿宋" w:hAnsi="仿宋" w:eastAsia="仿宋" w:cs="仿宋"/>
                <w:color w:val="auto"/>
                <w:kern w:val="24"/>
                <w:sz w:val="24"/>
                <w:szCs w:val="24"/>
                <w:shd w:val="clear" w:color="auto" w:fill="auto"/>
                <w:lang w:val="en-US" w:eastAsia="zh-CN"/>
              </w:rPr>
              <w:t>*</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12-1</w:t>
            </w:r>
            <w:r>
              <w:rPr>
                <w:rFonts w:hint="eastAsia" w:ascii="仿宋" w:hAnsi="仿宋" w:eastAsia="仿宋" w:cs="仿宋"/>
                <w:color w:val="auto"/>
                <w:sz w:val="24"/>
                <w:szCs w:val="24"/>
                <w:shd w:val="clear" w:color="auto" w:fill="auto"/>
                <w:lang w:val="en-US" w:eastAsia="zh-CN"/>
              </w:rPr>
              <w:t>8</w:t>
            </w:r>
            <w:r>
              <w:rPr>
                <w:rFonts w:hint="eastAsia" w:ascii="仿宋" w:hAnsi="仿宋" w:eastAsia="仿宋" w:cs="仿宋"/>
                <w:color w:val="auto"/>
                <w:sz w:val="24"/>
                <w:szCs w:val="24"/>
                <w:shd w:val="clear" w:color="auto" w:fill="auto"/>
              </w:rPr>
              <w:t>周岁青少年入学</w:t>
            </w:r>
            <w:r>
              <w:rPr>
                <w:rFonts w:hint="eastAsia" w:ascii="仿宋" w:hAnsi="仿宋" w:eastAsia="仿宋" w:cs="仿宋"/>
                <w:color w:val="auto"/>
                <w:sz w:val="24"/>
                <w:szCs w:val="24"/>
                <w:shd w:val="clear" w:color="auto" w:fill="auto"/>
                <w:lang w:eastAsia="zh-CN"/>
              </w:rPr>
              <w:t>要求</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zh-CN" w:eastAsia="zh-CN"/>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lang w:val="zh-CN" w:eastAsia="zh-CN"/>
              </w:rPr>
              <w:t>）12～36个班，每班不超过50人。</w:t>
            </w:r>
            <w:r>
              <w:rPr>
                <w:rFonts w:hint="eastAsia" w:ascii="仿宋" w:hAnsi="仿宋" w:eastAsia="仿宋" w:cs="仿宋"/>
                <w:color w:val="auto"/>
                <w:kern w:val="24"/>
                <w:sz w:val="24"/>
                <w:szCs w:val="24"/>
                <w:shd w:val="clear" w:color="auto" w:fill="auto"/>
                <w:lang w:val="en-US" w:eastAsia="zh-CN"/>
              </w:rPr>
              <w:t>中小学宜分开建设，除特殊情况外，小学不宜超过1800人，中学不宜超过2000人。</w:t>
            </w:r>
          </w:p>
          <w:p>
            <w:pPr>
              <w:keepNext w:val="0"/>
              <w:keepLines w:val="0"/>
              <w:pageBreakBefore w:val="0"/>
              <w:numPr>
                <w:ilvl w:val="0"/>
                <w:numId w:val="10"/>
              </w:numPr>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每千人口按40名初中生计算配建</w:t>
            </w:r>
          </w:p>
          <w:p>
            <w:pPr>
              <w:keepNext w:val="0"/>
              <w:keepLines w:val="0"/>
              <w:pageBreakBefore w:val="0"/>
              <w:numPr>
                <w:ilvl w:val="0"/>
                <w:numId w:val="10"/>
              </w:numPr>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zh-CN" w:eastAsia="zh-CN"/>
              </w:rPr>
              <w:t>学校建筑用地容积率不宜大于1.0，老城区学校建筑用地容积率应控制在0.9～1.2。</w:t>
            </w:r>
          </w:p>
          <w:p>
            <w:pPr>
              <w:keepNext w:val="0"/>
              <w:keepLines w:val="0"/>
              <w:pageBreakBefore w:val="0"/>
              <w:numPr>
                <w:ilvl w:val="0"/>
                <w:numId w:val="10"/>
              </w:numPr>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zh-CN" w:eastAsia="zh-CN"/>
              </w:rPr>
              <w:t>集中绿化用地应包括集中绿地、中学生物园地等。生均绿化面积≥6m²。学校绿地率应控制在35%～45%。</w:t>
            </w:r>
          </w:p>
        </w:tc>
        <w:tc>
          <w:tcPr>
            <w:tcW w:w="1823"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（1）选址应避开城市赶到交叉口等交通繁忙路段；</w:t>
            </w:r>
          </w:p>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（2）服务半径不宜大于1000m</w:t>
            </w:r>
          </w:p>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（3）学校规模根据适龄青少年人口确定，且不宜超过36个班；</w:t>
            </w:r>
          </w:p>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（4）鼓励教学区和运动场地相对独立设置，并向社会错时开放运动场地；</w:t>
            </w:r>
          </w:p>
          <w:p>
            <w:pPr>
              <w:keepNext w:val="0"/>
              <w:keepLines w:val="0"/>
              <w:pageBreakBefore w:val="0"/>
              <w:widowControl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（5）应独立占地；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rPr>
              <w:t>体育馆（场）</w:t>
            </w:r>
            <w:r>
              <w:rPr>
                <w:rFonts w:hint="eastAsia" w:ascii="仿宋" w:hAnsi="仿宋" w:eastAsia="仿宋" w:cs="仿宋"/>
                <w:color w:val="auto"/>
                <w:kern w:val="0"/>
                <w:sz w:val="24"/>
                <w:szCs w:val="24"/>
                <w:shd w:val="clear" w:color="auto" w:fill="auto"/>
                <w:lang w:eastAsia="zh-CN"/>
              </w:rPr>
              <w:t>或全民健身中心</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具备多种健身设施、专用开展体育健身活动的综合体育场（馆）或健身馆</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建筑面积20</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5000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用地面积12</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15000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（1）服务半径不宜大于1000m</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（2）宜设置60m-100m直跑道和环形跑道；</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（3）全民健身中心应具备打孔机球类活动、乒乓球、体能训练和提质检测等用房；</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（4）</w:t>
            </w:r>
            <w:r>
              <w:rPr>
                <w:rFonts w:hint="eastAsia" w:ascii="仿宋" w:hAnsi="仿宋" w:eastAsia="仿宋" w:cs="仿宋"/>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大型球类场地</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多功能运动场地或同等规模的球类场地</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3150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5620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lang w:val="en-US" w:eastAsia="zh-CN"/>
              </w:rPr>
              <w:t>1</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宜结合公共绿地等公共活动空间统筹布局；</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（2）服务半径不宜大于1000m；</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（3）宜集中设置篮球、排球、7人足球场地；</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（4）</w:t>
            </w:r>
            <w:r>
              <w:rPr>
                <w:rFonts w:hint="eastAsia" w:ascii="仿宋" w:hAnsi="仿宋" w:eastAsia="仿宋" w:cs="仿宋"/>
                <w:color w:val="auto"/>
                <w:kern w:val="0"/>
                <w:sz w:val="24"/>
                <w:szCs w:val="24"/>
                <w:shd w:val="clear" w:color="auto" w:fill="auto"/>
                <w:lang w:eastAsia="zh-CN"/>
              </w:rPr>
              <w:t>宜独立占地。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highlight w:val="yellow"/>
                <w:shd w:val="clear" w:color="auto" w:fill="auto"/>
              </w:rPr>
            </w:pPr>
            <w:r>
              <w:rPr>
                <w:rFonts w:hint="eastAsia" w:ascii="仿宋" w:hAnsi="仿宋" w:eastAsia="仿宋" w:cs="仿宋"/>
                <w:color w:val="auto"/>
                <w:kern w:val="0"/>
                <w:sz w:val="24"/>
                <w:szCs w:val="24"/>
                <w:shd w:val="clear" w:color="auto" w:fill="auto"/>
              </w:rPr>
              <w:t>卫生服务中心</w:t>
            </w:r>
            <w:r>
              <w:rPr>
                <w:rFonts w:hint="eastAsia" w:ascii="仿宋" w:hAnsi="仿宋" w:eastAsia="仿宋" w:cs="仿宋"/>
                <w:color w:val="auto"/>
                <w:kern w:val="24"/>
                <w:sz w:val="24"/>
                <w:szCs w:val="24"/>
                <w:shd w:val="clear" w:color="auto" w:fill="auto"/>
                <w:lang w:val="en-US" w:eastAsia="zh-CN"/>
              </w:rPr>
              <w:t>*</w:t>
            </w:r>
            <w:r>
              <w:rPr>
                <w:rFonts w:hint="eastAsia" w:ascii="仿宋" w:hAnsi="仿宋" w:eastAsia="仿宋" w:cs="仿宋"/>
                <w:color w:val="auto"/>
                <w:kern w:val="0"/>
                <w:sz w:val="24"/>
                <w:szCs w:val="24"/>
                <w:shd w:val="clear" w:color="auto" w:fill="auto"/>
              </w:rPr>
              <w:t>（社区医院）</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预防、医疗、保健、康复、健康教育、计生等</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val="en-US" w:eastAsia="zh-CN"/>
              </w:rPr>
              <w:t>7</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20</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val="en-US" w:eastAsia="zh-CN"/>
              </w:rPr>
              <w:t>42</w:t>
            </w:r>
            <w:r>
              <w:rPr>
                <w:rFonts w:hint="eastAsia" w:ascii="仿宋" w:hAnsi="仿宋" w:eastAsia="仿宋" w:cs="仿宋"/>
                <w:color w:val="auto"/>
                <w:kern w:val="24"/>
                <w:sz w:val="24"/>
                <w:szCs w:val="24"/>
                <w:shd w:val="clear" w:color="auto" w:fill="auto"/>
              </w:rPr>
              <w:t>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2860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numPr>
                <w:ilvl w:val="0"/>
                <w:numId w:val="11"/>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一般结合街道办事处所辖区域进行设置，且不宜与菜市场、学校、幼儿园、公共娱乐场所、消防站、垃圾转运站等设施毗邻</w:t>
            </w:r>
          </w:p>
          <w:p>
            <w:pPr>
              <w:keepNext w:val="0"/>
              <w:keepLines w:val="0"/>
              <w:pageBreakBefore w:val="0"/>
              <w:numPr>
                <w:ilvl w:val="0"/>
                <w:numId w:val="11"/>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服务半径不宜大于1000m</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（3）建筑面积不得低于1700m</w:t>
            </w:r>
            <w:r>
              <w:rPr>
                <w:rFonts w:hint="eastAsia" w:ascii="仿宋" w:hAnsi="仿宋" w:eastAsia="仿宋" w:cs="仿宋"/>
                <w:color w:val="auto"/>
                <w:kern w:val="24"/>
                <w:sz w:val="24"/>
                <w:szCs w:val="24"/>
                <w:shd w:val="clear" w:color="auto" w:fill="auto"/>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lang w:eastAsia="zh-CN"/>
              </w:rPr>
              <w:t>门诊部</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
                <w:sz w:val="24"/>
                <w:szCs w:val="24"/>
                <w:shd w:val="clear" w:color="auto" w:fill="auto"/>
                <w:lang w:val="en-US" w:eastAsia="zh-CN" w:bidi="ar-SA"/>
              </w:rPr>
            </w:pPr>
          </w:p>
        </w:tc>
        <w:tc>
          <w:tcPr>
            <w:tcW w:w="1823" w:type="pct"/>
            <w:noWrap w:val="0"/>
            <w:tcMar>
              <w:top w:w="15" w:type="dxa"/>
              <w:left w:w="15" w:type="dxa"/>
              <w:bottom w:w="0" w:type="dxa"/>
              <w:right w:w="15" w:type="dxa"/>
            </w:tcMar>
            <w:vAlign w:val="center"/>
          </w:tcPr>
          <w:p>
            <w:pPr>
              <w:keepNext w:val="0"/>
              <w:keepLines w:val="0"/>
              <w:pageBreakBefore w:val="0"/>
              <w:numPr>
                <w:ilvl w:val="0"/>
                <w:numId w:val="12"/>
              </w:numPr>
              <w:kinsoku/>
              <w:wordWrap/>
              <w:overflowPunct/>
              <w:topLinePunct w:val="0"/>
              <w:autoSpaceDE/>
              <w:autoSpaceDN w:val="0"/>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宜设置于辖区内位子适中、交通方便的地段</w:t>
            </w:r>
          </w:p>
          <w:p>
            <w:pPr>
              <w:keepNext w:val="0"/>
              <w:keepLines w:val="0"/>
              <w:pageBreakBefore w:val="0"/>
              <w:numPr>
                <w:ilvl w:val="0"/>
                <w:numId w:val="12"/>
              </w:numPr>
              <w:kinsoku/>
              <w:wordWrap/>
              <w:overflowPunct/>
              <w:topLinePunct w:val="0"/>
              <w:autoSpaceDE/>
              <w:autoSpaceDN w:val="0"/>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kern w:val="2"/>
                <w:sz w:val="24"/>
                <w:szCs w:val="24"/>
                <w:shd w:val="clear" w:color="auto" w:fill="auto"/>
                <w:lang w:val="en-US" w:eastAsia="zh-CN" w:bidi="ar-SA"/>
              </w:rPr>
              <w:t>服务半径不宜大于1000m</w:t>
            </w:r>
          </w:p>
          <w:p>
            <w:pPr>
              <w:keepNext w:val="0"/>
              <w:keepLines w:val="0"/>
              <w:pageBreakBefore w:val="0"/>
              <w:numPr>
                <w:ilvl w:val="0"/>
                <w:numId w:val="12"/>
              </w:numPr>
              <w:kinsoku/>
              <w:wordWrap/>
              <w:overflowPunct/>
              <w:topLinePunct w:val="0"/>
              <w:autoSpaceDE/>
              <w:autoSpaceDN w:val="0"/>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养老院</w:t>
            </w:r>
            <w:r>
              <w:rPr>
                <w:rFonts w:hint="eastAsia" w:ascii="仿宋" w:hAnsi="仿宋" w:eastAsia="仿宋" w:cs="仿宋"/>
                <w:color w:val="auto"/>
                <w:kern w:val="24"/>
                <w:sz w:val="24"/>
                <w:szCs w:val="24"/>
                <w:shd w:val="clear" w:color="auto" w:fill="auto"/>
                <w:lang w:val="en-US" w:eastAsia="zh-CN"/>
              </w:rPr>
              <w:t>*</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对自理、介助和介护老年人给予生活起居、餐饮服务、医疗保健、文化娱乐等综合服务</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24"/>
                <w:sz w:val="24"/>
                <w:szCs w:val="24"/>
                <w:shd w:val="clear" w:color="auto" w:fill="auto"/>
              </w:rPr>
              <w:t>7500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val="en-US" w:eastAsia="zh-CN"/>
              </w:rPr>
              <w:t>7</w:t>
            </w:r>
            <w:r>
              <w:rPr>
                <w:rFonts w:hint="eastAsia" w:ascii="仿宋" w:hAnsi="仿宋" w:eastAsia="仿宋" w:cs="仿宋"/>
                <w:color w:val="auto"/>
                <w:kern w:val="24"/>
                <w:sz w:val="24"/>
                <w:szCs w:val="24"/>
                <w:shd w:val="clear" w:color="auto" w:fill="auto"/>
              </w:rPr>
              <w:t>500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val="en-US" w:eastAsia="zh-CN"/>
              </w:rPr>
              <w:t>用地面积3</w:t>
            </w:r>
            <w:r>
              <w:rPr>
                <w:rFonts w:hint="eastAsia" w:ascii="仿宋" w:hAnsi="仿宋" w:eastAsia="仿宋" w:cs="仿宋"/>
                <w:color w:val="auto"/>
                <w:kern w:val="24"/>
                <w:sz w:val="24"/>
                <w:szCs w:val="24"/>
                <w:shd w:val="clear" w:color="auto" w:fill="auto"/>
              </w:rPr>
              <w:t>500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220</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lang w:eastAsia="zh-CN"/>
              </w:rPr>
              <w:t>）宜临近社区卫生服务中心、幼儿园、小学以及公共服务中心</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2</w:t>
            </w:r>
            <w:r>
              <w:rPr>
                <w:rFonts w:hint="eastAsia" w:ascii="仿宋" w:hAnsi="仿宋" w:eastAsia="仿宋" w:cs="仿宋"/>
                <w:color w:val="auto"/>
                <w:kern w:val="24"/>
                <w:sz w:val="24"/>
                <w:szCs w:val="24"/>
                <w:shd w:val="clear" w:color="auto" w:fill="auto"/>
                <w:lang w:eastAsia="zh-CN"/>
              </w:rPr>
              <w:t>）一般规模宜为</w:t>
            </w:r>
            <w:r>
              <w:rPr>
                <w:rFonts w:hint="eastAsia" w:ascii="仿宋" w:hAnsi="仿宋" w:eastAsia="仿宋" w:cs="仿宋"/>
                <w:color w:val="auto"/>
                <w:kern w:val="24"/>
                <w:sz w:val="24"/>
                <w:szCs w:val="24"/>
                <w:shd w:val="clear" w:color="auto" w:fill="auto"/>
                <w:lang w:val="en-US" w:eastAsia="zh-CN"/>
              </w:rPr>
              <w:t>200床-500床</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default"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w:t>
            </w:r>
            <w:r>
              <w:rPr>
                <w:rFonts w:hint="eastAsia" w:ascii="仿宋" w:hAnsi="仿宋" w:eastAsia="仿宋" w:cs="仿宋"/>
                <w:color w:val="auto"/>
                <w:kern w:val="0"/>
                <w:sz w:val="24"/>
                <w:szCs w:val="24"/>
                <w:shd w:val="clear" w:color="auto" w:fill="auto"/>
                <w:lang w:eastAsia="zh-CN"/>
              </w:rPr>
              <w:t>宜独立占地</w:t>
            </w:r>
            <w:r>
              <w:rPr>
                <w:rFonts w:hint="eastAsia" w:ascii="仿宋" w:hAnsi="仿宋" w:eastAsia="仿宋" w:cs="仿宋"/>
                <w:color w:val="auto"/>
                <w:kern w:val="0"/>
                <w:sz w:val="24"/>
                <w:szCs w:val="24"/>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老年</w:t>
            </w:r>
            <w:r>
              <w:rPr>
                <w:rFonts w:hint="eastAsia" w:ascii="仿宋" w:hAnsi="仿宋" w:eastAsia="仿宋" w:cs="仿宋"/>
                <w:color w:val="auto"/>
                <w:kern w:val="24"/>
                <w:sz w:val="24"/>
                <w:szCs w:val="24"/>
                <w:shd w:val="clear" w:color="auto" w:fill="auto"/>
                <w:lang w:eastAsia="zh-CN"/>
              </w:rPr>
              <w:t>养护院</w:t>
            </w:r>
            <w:r>
              <w:rPr>
                <w:rFonts w:hint="eastAsia" w:ascii="仿宋" w:hAnsi="仿宋" w:eastAsia="仿宋" w:cs="仿宋"/>
                <w:color w:val="auto"/>
                <w:kern w:val="24"/>
                <w:sz w:val="24"/>
                <w:szCs w:val="24"/>
                <w:shd w:val="clear" w:color="auto" w:fill="auto"/>
                <w:lang w:val="en-US" w:eastAsia="zh-CN"/>
              </w:rPr>
              <w:t>*</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对介助和介护老年人给予生活护理、餐饮服务、医疗保健、康复娱乐、心理疏导、临终关怀等服务</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建筑面积3</w:t>
            </w:r>
            <w:r>
              <w:rPr>
                <w:rFonts w:hint="eastAsia" w:ascii="仿宋" w:hAnsi="仿宋" w:eastAsia="仿宋" w:cs="仿宋"/>
                <w:color w:val="auto"/>
                <w:kern w:val="24"/>
                <w:sz w:val="24"/>
                <w:szCs w:val="24"/>
                <w:shd w:val="clear" w:color="auto" w:fill="auto"/>
              </w:rPr>
              <w:t>500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val="en-US" w:eastAsia="zh-CN"/>
              </w:rPr>
              <w:t>7</w:t>
            </w:r>
            <w:r>
              <w:rPr>
                <w:rFonts w:hint="eastAsia" w:ascii="仿宋" w:hAnsi="仿宋" w:eastAsia="仿宋" w:cs="仿宋"/>
                <w:color w:val="auto"/>
                <w:kern w:val="24"/>
                <w:sz w:val="24"/>
                <w:szCs w:val="24"/>
                <w:shd w:val="clear" w:color="auto" w:fill="auto"/>
              </w:rPr>
              <w:t>50</w:t>
            </w:r>
            <w:r>
              <w:rPr>
                <w:rFonts w:hint="eastAsia" w:ascii="仿宋" w:hAnsi="仿宋" w:eastAsia="仿宋" w:cs="仿宋"/>
                <w:color w:val="auto"/>
                <w:kern w:val="24"/>
                <w:sz w:val="24"/>
                <w:szCs w:val="24"/>
                <w:shd w:val="clear" w:color="auto" w:fill="auto"/>
                <w:lang w:val="en-US" w:eastAsia="zh-CN"/>
              </w:rPr>
              <w:t>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val="en-US" w:eastAsia="zh-CN"/>
              </w:rPr>
              <w:t>用地面积175</w:t>
            </w:r>
            <w:r>
              <w:rPr>
                <w:rFonts w:hint="eastAsia" w:ascii="仿宋" w:hAnsi="仿宋" w:eastAsia="仿宋" w:cs="仿宋"/>
                <w:color w:val="auto"/>
                <w:kern w:val="24"/>
                <w:sz w:val="24"/>
                <w:szCs w:val="24"/>
                <w:shd w:val="clear" w:color="auto" w:fill="auto"/>
              </w:rPr>
              <w:t>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22000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eastAsia="zh-CN"/>
              </w:rPr>
              <w:t>宜临近社区卫生服务中心、幼儿园、小学以及公共服务中心；</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2</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rPr>
              <w:t>一般中型规模为100-</w:t>
            </w:r>
            <w:r>
              <w:rPr>
                <w:rFonts w:hint="eastAsia" w:ascii="仿宋" w:hAnsi="仿宋" w:eastAsia="仿宋" w:cs="仿宋"/>
                <w:color w:val="auto"/>
                <w:kern w:val="24"/>
                <w:sz w:val="24"/>
                <w:szCs w:val="24"/>
                <w:shd w:val="clear" w:color="auto" w:fill="auto"/>
                <w:lang w:val="en-US" w:eastAsia="zh-CN"/>
              </w:rPr>
              <w:t>50</w:t>
            </w:r>
            <w:r>
              <w:rPr>
                <w:rFonts w:hint="eastAsia" w:ascii="仿宋" w:hAnsi="仿宋" w:eastAsia="仿宋" w:cs="仿宋"/>
                <w:color w:val="auto"/>
                <w:kern w:val="24"/>
                <w:sz w:val="24"/>
                <w:szCs w:val="24"/>
                <w:shd w:val="clear" w:color="auto" w:fill="auto"/>
              </w:rPr>
              <w:t>0床</w:t>
            </w:r>
            <w:r>
              <w:rPr>
                <w:rFonts w:hint="eastAsia" w:ascii="仿宋" w:hAnsi="仿宋" w:eastAsia="仿宋" w:cs="仿宋"/>
                <w:color w:val="auto"/>
                <w:kern w:val="24"/>
                <w:sz w:val="24"/>
                <w:szCs w:val="24"/>
                <w:shd w:val="clear" w:color="auto" w:fill="auto"/>
                <w:lang w:eastAsia="zh-CN"/>
              </w:rPr>
              <w:t>；</w:t>
            </w:r>
          </w:p>
          <w:p>
            <w:pPr>
              <w:keepNext w:val="0"/>
              <w:keepLines w:val="0"/>
              <w:pageBreakBefore w:val="0"/>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3</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0"/>
                <w:sz w:val="24"/>
                <w:szCs w:val="24"/>
                <w:shd w:val="clear" w:color="auto" w:fill="auto"/>
                <w:lang w:eastAsia="zh-CN"/>
              </w:rPr>
              <w:t>宜独立占地。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文化活动中心</w:t>
            </w:r>
            <w:r>
              <w:rPr>
                <w:rFonts w:hint="eastAsia" w:ascii="仿宋" w:hAnsi="仿宋" w:eastAsia="仿宋" w:cs="仿宋"/>
                <w:color w:val="auto"/>
                <w:kern w:val="24"/>
                <w:sz w:val="24"/>
                <w:szCs w:val="24"/>
                <w:shd w:val="clear" w:color="auto" w:fill="auto"/>
                <w:lang w:val="en-US" w:eastAsia="zh-CN"/>
              </w:rPr>
              <w:t>*</w:t>
            </w:r>
            <w:r>
              <w:rPr>
                <w:rFonts w:hint="eastAsia" w:ascii="仿宋" w:hAnsi="仿宋" w:eastAsia="仿宋" w:cs="仿宋"/>
                <w:color w:val="auto"/>
                <w:kern w:val="24"/>
                <w:sz w:val="24"/>
                <w:szCs w:val="24"/>
                <w:shd w:val="clear" w:color="auto" w:fill="auto"/>
                <w:lang w:eastAsia="zh-CN"/>
              </w:rPr>
              <w:t>（含青少年活动中心、老年活动中心）</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开展图书阅览、科普知识宣传与教育，影视厅、舞厅、游艺厅、球类、棋类、科技与艺术等活动；宜包括儿童之家服务功能</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建筑面积3</w:t>
            </w:r>
            <w:r>
              <w:rPr>
                <w:rFonts w:hint="eastAsia" w:ascii="仿宋" w:hAnsi="仿宋" w:eastAsia="仿宋" w:cs="仿宋"/>
                <w:color w:val="auto"/>
                <w:kern w:val="24"/>
                <w:sz w:val="24"/>
                <w:szCs w:val="24"/>
                <w:shd w:val="clear" w:color="auto" w:fill="auto"/>
              </w:rPr>
              <w:t>000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6000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widowControl/>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val="en-US" w:eastAsia="zh-CN"/>
              </w:rPr>
              <w:t>用地面积3</w:t>
            </w:r>
            <w:r>
              <w:rPr>
                <w:rFonts w:hint="eastAsia" w:ascii="仿宋" w:hAnsi="仿宋" w:eastAsia="仿宋" w:cs="仿宋"/>
                <w:color w:val="auto"/>
                <w:kern w:val="24"/>
                <w:sz w:val="24"/>
                <w:szCs w:val="24"/>
                <w:shd w:val="clear" w:color="auto" w:fill="auto"/>
              </w:rPr>
              <w:t>000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12000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rPr>
              <w:t>宜结合或靠近绿地</w:t>
            </w:r>
            <w:r>
              <w:rPr>
                <w:rFonts w:hint="eastAsia" w:ascii="仿宋" w:hAnsi="仿宋" w:eastAsia="仿宋" w:cs="仿宋"/>
                <w:color w:val="auto"/>
                <w:kern w:val="24"/>
                <w:sz w:val="24"/>
                <w:szCs w:val="24"/>
                <w:shd w:val="clear" w:color="auto" w:fill="auto"/>
                <w:lang w:eastAsia="zh-CN"/>
              </w:rPr>
              <w:t>设置；</w:t>
            </w:r>
          </w:p>
          <w:p>
            <w:pPr>
              <w:keepNext w:val="0"/>
              <w:keepLines w:val="0"/>
              <w:pageBreakBefore w:val="0"/>
              <w:widowControl/>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2</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rPr>
              <w:t>服务半径不易大于1000m</w:t>
            </w:r>
            <w:r>
              <w:rPr>
                <w:rFonts w:hint="eastAsia" w:ascii="仿宋" w:hAnsi="仿宋" w:eastAsia="仿宋" w:cs="仿宋"/>
                <w:color w:val="auto"/>
                <w:kern w:val="24"/>
                <w:sz w:val="24"/>
                <w:szCs w:val="24"/>
                <w:shd w:val="clear" w:color="auto" w:fill="auto"/>
                <w:lang w:eastAsia="zh-CN"/>
              </w:rPr>
              <w:t>；</w:t>
            </w:r>
          </w:p>
          <w:p>
            <w:pPr>
              <w:keepNext w:val="0"/>
              <w:keepLines w:val="0"/>
              <w:pageBreakBefore w:val="0"/>
              <w:widowControl/>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3</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社区</w:t>
            </w:r>
            <w:r>
              <w:rPr>
                <w:rFonts w:hint="eastAsia" w:ascii="仿宋" w:hAnsi="仿宋" w:eastAsia="仿宋" w:cs="仿宋"/>
                <w:color w:val="auto"/>
                <w:kern w:val="24"/>
                <w:sz w:val="24"/>
                <w:szCs w:val="24"/>
                <w:shd w:val="clear" w:color="auto" w:fill="auto"/>
              </w:rPr>
              <w:t>服务中心</w:t>
            </w:r>
            <w:r>
              <w:rPr>
                <w:rFonts w:hint="eastAsia" w:ascii="仿宋" w:hAnsi="仿宋" w:eastAsia="仿宋" w:cs="仿宋"/>
                <w:color w:val="auto"/>
                <w:kern w:val="24"/>
                <w:sz w:val="24"/>
                <w:szCs w:val="24"/>
                <w:shd w:val="clear" w:color="auto" w:fill="auto"/>
                <w:lang w:eastAsia="zh-CN"/>
              </w:rPr>
              <w:t>（街道级）</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0"/>
                <w:sz w:val="24"/>
                <w:szCs w:val="24"/>
                <w:shd w:val="clear" w:color="auto" w:fill="auto"/>
                <w:lang w:val="en-US" w:eastAsia="zh-CN"/>
              </w:rPr>
              <w:t>-</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建筑面积7</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rPr>
              <w:t>500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600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12</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numPr>
                <w:ilvl w:val="0"/>
                <w:numId w:val="0"/>
              </w:numPr>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lang w:val="en-US" w:eastAsia="zh-CN"/>
              </w:rPr>
              <w:t>1</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一般</w:t>
            </w:r>
            <w:r>
              <w:rPr>
                <w:rFonts w:hint="eastAsia" w:ascii="仿宋" w:hAnsi="仿宋" w:eastAsia="仿宋" w:cs="仿宋"/>
                <w:color w:val="auto"/>
                <w:sz w:val="24"/>
                <w:szCs w:val="24"/>
                <w:shd w:val="clear" w:color="auto" w:fill="auto"/>
                <w:lang w:eastAsia="zh-CN"/>
              </w:rPr>
              <w:t>结合</w:t>
            </w:r>
            <w:r>
              <w:rPr>
                <w:rFonts w:hint="eastAsia" w:ascii="仿宋" w:hAnsi="仿宋" w:eastAsia="仿宋" w:cs="仿宋"/>
                <w:color w:val="auto"/>
                <w:sz w:val="24"/>
                <w:szCs w:val="24"/>
                <w:shd w:val="clear" w:color="auto" w:fill="auto"/>
              </w:rPr>
              <w:t>街道办事处所辖区域设置</w:t>
            </w:r>
            <w:r>
              <w:rPr>
                <w:rFonts w:hint="eastAsia" w:ascii="仿宋" w:hAnsi="仿宋" w:eastAsia="仿宋" w:cs="仿宋"/>
                <w:color w:val="auto"/>
                <w:sz w:val="24"/>
                <w:szCs w:val="24"/>
                <w:shd w:val="clear" w:color="auto" w:fill="auto"/>
                <w:lang w:eastAsia="zh-CN"/>
              </w:rPr>
              <w:t>；</w:t>
            </w:r>
          </w:p>
          <w:p>
            <w:pPr>
              <w:keepNext w:val="0"/>
              <w:keepLines w:val="0"/>
              <w:pageBreakBefore w:val="0"/>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2</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0"/>
                <w:sz w:val="24"/>
                <w:szCs w:val="24"/>
                <w:shd w:val="clear" w:color="auto" w:fill="auto"/>
              </w:rPr>
              <w:t>服务半径不宜大于</w:t>
            </w:r>
            <w:r>
              <w:rPr>
                <w:rFonts w:hint="eastAsia" w:ascii="仿宋" w:hAnsi="仿宋" w:eastAsia="仿宋" w:cs="仿宋"/>
                <w:color w:val="auto"/>
                <w:kern w:val="24"/>
                <w:sz w:val="24"/>
                <w:szCs w:val="24"/>
                <w:shd w:val="clear" w:color="auto" w:fill="auto"/>
              </w:rPr>
              <w:t>1000m</w:t>
            </w:r>
            <w:r>
              <w:rPr>
                <w:rFonts w:hint="eastAsia" w:ascii="仿宋" w:hAnsi="仿宋" w:eastAsia="仿宋" w:cs="仿宋"/>
                <w:color w:val="auto"/>
                <w:kern w:val="24"/>
                <w:sz w:val="24"/>
                <w:szCs w:val="24"/>
                <w:shd w:val="clear" w:color="auto" w:fill="auto"/>
                <w:lang w:eastAsia="zh-CN"/>
              </w:rPr>
              <w:t>；</w:t>
            </w:r>
          </w:p>
          <w:p>
            <w:pPr>
              <w:keepNext w:val="0"/>
              <w:keepLines w:val="0"/>
              <w:pageBreakBefore w:val="0"/>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sz w:val="24"/>
                <w:szCs w:val="24"/>
                <w:shd w:val="clear" w:color="auto" w:fill="auto"/>
                <w:vertAlign w:val="superscript"/>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3</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rPr>
              <w:t>)</w:t>
            </w:r>
            <w:r>
              <w:rPr>
                <w:rFonts w:hint="eastAsia" w:ascii="仿宋" w:hAnsi="仿宋" w:eastAsia="仿宋" w:cs="仿宋"/>
                <w:color w:val="auto"/>
                <w:kern w:val="0"/>
                <w:sz w:val="24"/>
                <w:szCs w:val="24"/>
                <w:shd w:val="clear" w:color="auto" w:fill="auto"/>
              </w:rPr>
              <w:t>建筑面积不得低于</w:t>
            </w:r>
            <w:r>
              <w:rPr>
                <w:rFonts w:hint="eastAsia" w:ascii="仿宋" w:hAnsi="仿宋" w:eastAsia="仿宋" w:cs="仿宋"/>
                <w:color w:val="auto"/>
                <w:kern w:val="24"/>
                <w:sz w:val="24"/>
                <w:szCs w:val="24"/>
                <w:shd w:val="clear" w:color="auto" w:fill="auto"/>
                <w:lang w:val="en-US" w:eastAsia="zh-CN"/>
              </w:rPr>
              <w:t>7</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sz w:val="24"/>
                <w:szCs w:val="24"/>
                <w:shd w:val="clear" w:color="auto" w:fill="auto"/>
              </w:rPr>
              <w:t>m</w:t>
            </w:r>
            <w:r>
              <w:rPr>
                <w:rFonts w:hint="eastAsia" w:ascii="仿宋" w:hAnsi="仿宋" w:eastAsia="仿宋" w:cs="仿宋"/>
                <w:color w:val="auto"/>
                <w:sz w:val="24"/>
                <w:szCs w:val="24"/>
                <w:shd w:val="clear" w:color="auto" w:fill="auto"/>
                <w:vertAlign w:val="superscript"/>
              </w:rPr>
              <w:t>2</w:t>
            </w:r>
            <w:r>
              <w:rPr>
                <w:rFonts w:hint="eastAsia" w:ascii="仿宋" w:hAnsi="仿宋" w:eastAsia="仿宋" w:cs="仿宋"/>
                <w:color w:val="auto"/>
                <w:sz w:val="24"/>
                <w:szCs w:val="24"/>
                <w:shd w:val="clear" w:color="auto" w:fill="auto"/>
                <w:vertAlign w:val="baseline"/>
                <w:lang w:eastAsia="zh-CN"/>
              </w:rPr>
              <w:t>；</w:t>
            </w:r>
          </w:p>
          <w:p>
            <w:pPr>
              <w:keepNext w:val="0"/>
              <w:keepLines w:val="0"/>
              <w:pageBreakBefore w:val="0"/>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sz w:val="24"/>
                <w:szCs w:val="24"/>
                <w:shd w:val="clear" w:color="auto" w:fill="auto"/>
                <w:vertAlign w:val="superscript"/>
                <w:lang w:eastAsia="zh-CN"/>
              </w:rPr>
            </w:pP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lang w:val="en-US" w:eastAsia="zh-CN"/>
              </w:rPr>
              <w:t>4</w:t>
            </w:r>
            <w:r>
              <w:rPr>
                <w:rFonts w:hint="eastAsia" w:ascii="仿宋" w:hAnsi="仿宋" w:eastAsia="仿宋" w:cs="仿宋"/>
                <w:color w:val="auto"/>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街道办事处</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b/>
                <w:bCs/>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建筑面积7</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rPr>
              <w:t>500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600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12</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rPr>
              <w:t>一般</w:t>
            </w:r>
            <w:r>
              <w:rPr>
                <w:rFonts w:hint="eastAsia" w:ascii="仿宋" w:hAnsi="仿宋" w:eastAsia="仿宋" w:cs="仿宋"/>
                <w:color w:val="auto"/>
                <w:kern w:val="24"/>
                <w:sz w:val="24"/>
                <w:szCs w:val="24"/>
                <w:shd w:val="clear" w:color="auto" w:fill="auto"/>
                <w:lang w:eastAsia="zh-CN"/>
              </w:rPr>
              <w:t>结合</w:t>
            </w:r>
            <w:r>
              <w:rPr>
                <w:rFonts w:hint="eastAsia" w:ascii="仿宋" w:hAnsi="仿宋" w:eastAsia="仿宋" w:cs="仿宋"/>
                <w:color w:val="auto"/>
                <w:kern w:val="24"/>
                <w:sz w:val="24"/>
                <w:szCs w:val="24"/>
                <w:shd w:val="clear" w:color="auto" w:fill="auto"/>
              </w:rPr>
              <w:t>所辖区域设置</w:t>
            </w:r>
            <w:r>
              <w:rPr>
                <w:rFonts w:hint="eastAsia" w:ascii="仿宋" w:hAnsi="仿宋" w:eastAsia="仿宋" w:cs="仿宋"/>
                <w:color w:val="auto"/>
                <w:kern w:val="24"/>
                <w:sz w:val="24"/>
                <w:szCs w:val="24"/>
                <w:shd w:val="clear" w:color="auto" w:fill="auto"/>
                <w:lang w:eastAsia="zh-CN"/>
              </w:rPr>
              <w:t>；</w:t>
            </w:r>
          </w:p>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（2）</w:t>
            </w:r>
            <w:r>
              <w:rPr>
                <w:rFonts w:hint="eastAsia" w:ascii="仿宋" w:hAnsi="仿宋" w:eastAsia="仿宋" w:cs="仿宋"/>
                <w:color w:val="auto"/>
                <w:kern w:val="24"/>
                <w:sz w:val="24"/>
                <w:szCs w:val="24"/>
                <w:shd w:val="clear" w:color="auto" w:fill="auto"/>
              </w:rPr>
              <w:t>服务半径不宜大于1000m</w:t>
            </w:r>
            <w:r>
              <w:rPr>
                <w:rFonts w:hint="eastAsia" w:ascii="仿宋" w:hAnsi="仿宋" w:eastAsia="仿宋" w:cs="仿宋"/>
                <w:color w:val="auto"/>
                <w:kern w:val="24"/>
                <w:sz w:val="24"/>
                <w:szCs w:val="24"/>
                <w:shd w:val="clear" w:color="auto" w:fill="auto"/>
                <w:lang w:eastAsia="zh-CN"/>
              </w:rPr>
              <w:t>；</w:t>
            </w:r>
          </w:p>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3</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司法所</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法律事务援助、人民调解、服务保释、监外执行人员的社区矫正等</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b/>
                <w:bCs/>
                <w:color w:val="auto"/>
                <w:kern w:val="0"/>
                <w:sz w:val="24"/>
                <w:szCs w:val="24"/>
                <w:shd w:val="clear" w:color="auto" w:fill="auto"/>
                <w:lang w:val="en-US" w:eastAsia="zh-CN" w:bidi="ar-SA"/>
              </w:rPr>
            </w:pPr>
            <w:r>
              <w:rPr>
                <w:rFonts w:hint="eastAsia" w:ascii="仿宋" w:hAnsi="仿宋" w:eastAsia="仿宋" w:cs="仿宋"/>
                <w:b/>
                <w:bCs/>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建筑面积80-240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en-US" w:eastAsia="zh-CN"/>
              </w:rPr>
            </w:pPr>
          </w:p>
        </w:tc>
        <w:tc>
          <w:tcPr>
            <w:tcW w:w="1823" w:type="pct"/>
            <w:noWrap w:val="0"/>
            <w:tcMar>
              <w:top w:w="15" w:type="dxa"/>
              <w:left w:w="15" w:type="dxa"/>
              <w:bottom w:w="0" w:type="dxa"/>
              <w:right w:w="15" w:type="dxa"/>
            </w:tcMar>
            <w:vAlign w:val="center"/>
          </w:tcPr>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（1）一般结合街道所辖区域设置；</w:t>
            </w:r>
          </w:p>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（2）宜与街道办事处或其他行政管理单位结合建设，应设置单独出入口；</w:t>
            </w:r>
          </w:p>
          <w:p>
            <w:pPr>
              <w:keepNext w:val="0"/>
              <w:keepLines w:val="0"/>
              <w:pageBreakBefore w:val="0"/>
              <w:numPr>
                <w:ilvl w:val="0"/>
                <w:numId w:val="0"/>
              </w:numPr>
              <w:kinsoku/>
              <w:wordWrap/>
              <w:overflowPunct/>
              <w:topLinePunct w:val="0"/>
              <w:autoSpaceDE/>
              <w:autoSpaceDN w:val="0"/>
              <w:bidi w:val="0"/>
              <w:adjustRightInd/>
              <w:snapToGrid/>
              <w:spacing w:line="240" w:lineRule="auto"/>
              <w:ind w:left="0" w:firstLine="0" w:firstLineChars="0"/>
              <w:jc w:val="both"/>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w:t>
            </w:r>
            <w:r>
              <w:rPr>
                <w:rFonts w:hint="eastAsia" w:ascii="仿宋" w:hAnsi="仿宋" w:eastAsia="仿宋" w:cs="仿宋"/>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9" w:hRule="atLeast"/>
        </w:trPr>
        <w:tc>
          <w:tcPr>
            <w:tcW w:w="54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派出所</w:t>
            </w:r>
          </w:p>
        </w:tc>
        <w:tc>
          <w:tcPr>
            <w:tcW w:w="698"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w:t>
            </w:r>
          </w:p>
        </w:tc>
        <w:tc>
          <w:tcPr>
            <w:tcW w:w="408"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528"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left="0" w:firstLine="0" w:firstLineChars="0"/>
              <w:jc w:val="center"/>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24"/>
                <w:sz w:val="24"/>
                <w:szCs w:val="24"/>
                <w:shd w:val="clear" w:color="auto" w:fill="auto"/>
              </w:rPr>
              <w:t>1000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16</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kinsoku/>
              <w:wordWrap/>
              <w:overflowPunct/>
              <w:topLinePunct w:val="0"/>
              <w:autoSpaceDE/>
              <w:bidi w:val="0"/>
              <w:adjustRightInd/>
              <w:snapToGrid/>
              <w:spacing w:line="240" w:lineRule="auto"/>
              <w:ind w:left="0" w:firstLine="0" w:firstLineChars="0"/>
              <w:jc w:val="center"/>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1000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2400</w:t>
            </w:r>
            <w:r>
              <w:rPr>
                <w:rFonts w:hint="eastAsia" w:ascii="仿宋" w:hAnsi="仿宋" w:eastAsia="仿宋" w:cs="仿宋"/>
                <w:color w:val="auto"/>
                <w:kern w:val="24"/>
                <w:sz w:val="24"/>
                <w:szCs w:val="24"/>
                <w:shd w:val="clear" w:color="auto" w:fill="auto"/>
                <w:lang w:val="zh-CN" w:eastAsia="zh-CN"/>
              </w:rPr>
              <w:t>m²</w:t>
            </w:r>
          </w:p>
        </w:tc>
        <w:tc>
          <w:tcPr>
            <w:tcW w:w="1823"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（1）宜设置</w:t>
            </w:r>
            <w:r>
              <w:rPr>
                <w:rFonts w:hint="eastAsia" w:ascii="仿宋" w:hAnsi="仿宋" w:eastAsia="仿宋" w:cs="仿宋"/>
                <w:color w:val="auto"/>
                <w:kern w:val="0"/>
                <w:sz w:val="24"/>
                <w:szCs w:val="24"/>
                <w:shd w:val="clear" w:color="auto" w:fill="auto"/>
              </w:rPr>
              <w:t>于辖区内位置适中、交通方便的地段</w:t>
            </w:r>
            <w:r>
              <w:rPr>
                <w:rFonts w:hint="eastAsia" w:ascii="仿宋" w:hAnsi="仿宋" w:eastAsia="仿宋" w:cs="仿宋"/>
                <w:color w:val="auto"/>
                <w:kern w:val="0"/>
                <w:sz w:val="24"/>
                <w:szCs w:val="24"/>
                <w:shd w:val="clear" w:color="auto" w:fill="auto"/>
                <w:lang w:eastAsia="zh-CN"/>
              </w:rPr>
              <w:t>；</w:t>
            </w:r>
          </w:p>
          <w:p>
            <w:pPr>
              <w:keepNext w:val="0"/>
              <w:keepLines w:val="0"/>
              <w:pageBreakBefore w:val="0"/>
              <w:kinsoku/>
              <w:wordWrap/>
              <w:overflowPunct/>
              <w:topLinePunct w:val="0"/>
              <w:autoSpaceDE/>
              <w:bidi w:val="0"/>
              <w:adjustRightInd/>
              <w:snapToGrid/>
              <w:spacing w:line="240" w:lineRule="auto"/>
              <w:ind w:left="0" w:firstLine="0" w:firstLineChars="0"/>
              <w:jc w:val="both"/>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2</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2.5万人-5万人宜设置一处；</w:t>
            </w:r>
          </w:p>
          <w:p>
            <w:pPr>
              <w:keepNext w:val="0"/>
              <w:keepLines w:val="0"/>
              <w:pageBreakBefore w:val="0"/>
              <w:numPr>
                <w:ilvl w:val="0"/>
                <w:numId w:val="0"/>
              </w:numPr>
              <w:kinsoku/>
              <w:wordWrap/>
              <w:overflowPunct/>
              <w:topLinePunct w:val="0"/>
              <w:autoSpaceDE/>
              <w:bidi w:val="0"/>
              <w:adjustRightInd/>
              <w:snapToGrid/>
              <w:spacing w:line="240" w:lineRule="auto"/>
              <w:ind w:left="0" w:leftChars="0" w:firstLine="0" w:firstLineChars="0"/>
              <w:jc w:val="both"/>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3</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服务半径不宜大于800m</w:t>
            </w:r>
            <w:r>
              <w:rPr>
                <w:rFonts w:hint="eastAsia" w:ascii="仿宋" w:hAnsi="仿宋" w:eastAsia="仿宋" w:cs="仿宋"/>
                <w:color w:val="auto"/>
                <w:kern w:val="0"/>
                <w:sz w:val="24"/>
                <w:szCs w:val="24"/>
                <w:shd w:val="clear" w:color="auto" w:fill="auto"/>
                <w:lang w:eastAsia="zh-CN"/>
              </w:rPr>
              <w:t>；</w:t>
            </w:r>
          </w:p>
          <w:p>
            <w:pPr>
              <w:keepNext w:val="0"/>
              <w:keepLines w:val="0"/>
              <w:pageBreakBefore w:val="0"/>
              <w:numPr>
                <w:ilvl w:val="0"/>
                <w:numId w:val="0"/>
              </w:numPr>
              <w:kinsoku/>
              <w:wordWrap/>
              <w:overflowPunct/>
              <w:topLinePunct w:val="0"/>
              <w:autoSpaceDE/>
              <w:bidi w:val="0"/>
              <w:adjustRightInd/>
              <w:snapToGrid/>
              <w:spacing w:line="240" w:lineRule="auto"/>
              <w:ind w:left="0" w:leftChars="0" w:firstLine="0" w:firstLineChars="0"/>
              <w:jc w:val="both"/>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4</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b w:val="0"/>
                <w:bCs w:val="0"/>
                <w:color w:val="auto"/>
                <w:kern w:val="0"/>
                <w:sz w:val="24"/>
                <w:szCs w:val="24"/>
                <w:shd w:val="clear" w:color="auto" w:fill="auto"/>
                <w:lang w:eastAsia="zh-CN"/>
              </w:rPr>
              <w:t>宜独立占地。</w:t>
            </w:r>
          </w:p>
        </w:tc>
      </w:tr>
    </w:tbl>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lang w:val="en-US" w:eastAsia="zh-CN"/>
        </w:rPr>
      </w:pPr>
      <w:r>
        <w:rPr>
          <w:rFonts w:hint="eastAsia" w:ascii="仿宋" w:hAnsi="仿宋" w:eastAsia="仿宋" w:cs="仿宋"/>
          <w:color w:val="auto"/>
          <w:kern w:val="0"/>
          <w:sz w:val="21"/>
          <w:szCs w:val="21"/>
          <w:shd w:val="clear" w:color="auto" w:fill="auto"/>
        </w:rPr>
        <w:t>注: 1</w:t>
      </w:r>
      <w:r>
        <w:rPr>
          <w:rFonts w:hint="eastAsia" w:ascii="仿宋" w:hAnsi="仿宋" w:eastAsia="仿宋" w:cs="仿宋"/>
          <w:color w:val="auto"/>
          <w:kern w:val="0"/>
          <w:sz w:val="21"/>
          <w:szCs w:val="21"/>
          <w:shd w:val="clear" w:color="auto" w:fill="auto"/>
          <w:lang w:val="en-US" w:eastAsia="zh-CN"/>
        </w:rPr>
        <w:t>.</w:t>
      </w:r>
      <w:r>
        <w:rPr>
          <w:rFonts w:hint="eastAsia" w:ascii="仿宋" w:hAnsi="仿宋" w:eastAsia="仿宋" w:cs="仿宋"/>
          <w:color w:val="auto"/>
          <w:kern w:val="0"/>
          <w:sz w:val="21"/>
          <w:szCs w:val="21"/>
          <w:shd w:val="clear" w:color="auto" w:fill="auto"/>
        </w:rPr>
        <w:t>加* 的配套设施，其建筑面积与用地面积规模应满足国家相关规划及标准规范的有关规定</w:t>
      </w:r>
      <w:r>
        <w:rPr>
          <w:rFonts w:hint="eastAsia" w:ascii="仿宋" w:hAnsi="仿宋" w:eastAsia="仿宋" w:cs="仿宋"/>
          <w:color w:val="auto"/>
          <w:kern w:val="0"/>
          <w:sz w:val="21"/>
          <w:szCs w:val="21"/>
          <w:shd w:val="clear" w:color="auto" w:fill="auto"/>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rPr>
      </w:pPr>
      <w:r>
        <w:rPr>
          <w:rFonts w:hint="eastAsia" w:ascii="仿宋" w:hAnsi="仿宋" w:eastAsia="仿宋" w:cs="仿宋"/>
          <w:color w:val="auto"/>
          <w:kern w:val="0"/>
          <w:sz w:val="21"/>
          <w:szCs w:val="21"/>
          <w:shd w:val="clear" w:color="auto" w:fill="auto"/>
        </w:rPr>
        <w:t>2</w:t>
      </w:r>
      <w:r>
        <w:rPr>
          <w:rFonts w:hint="eastAsia" w:ascii="仿宋" w:hAnsi="仿宋" w:eastAsia="仿宋" w:cs="仿宋"/>
          <w:color w:val="auto"/>
          <w:kern w:val="0"/>
          <w:sz w:val="21"/>
          <w:szCs w:val="21"/>
          <w:shd w:val="clear" w:color="auto" w:fill="auto"/>
          <w:lang w:val="en-US" w:eastAsia="zh-CN"/>
        </w:rPr>
        <w:t>.</w:t>
      </w:r>
      <w:r>
        <w:rPr>
          <w:rFonts w:hint="eastAsia" w:ascii="仿宋" w:hAnsi="仿宋" w:eastAsia="仿宋" w:cs="仿宋"/>
          <w:color w:val="auto"/>
          <w:kern w:val="0"/>
          <w:sz w:val="21"/>
          <w:szCs w:val="21"/>
          <w:shd w:val="clear" w:color="auto" w:fill="auto"/>
        </w:rPr>
        <w:t>小学和初中可合并设置九年</w:t>
      </w:r>
      <w:r>
        <w:rPr>
          <w:rFonts w:hint="eastAsia" w:ascii="仿宋" w:hAnsi="仿宋" w:eastAsia="仿宋" w:cs="仿宋"/>
          <w:color w:val="auto"/>
          <w:kern w:val="0"/>
          <w:sz w:val="21"/>
          <w:szCs w:val="21"/>
          <w:shd w:val="clear" w:color="auto" w:fill="auto"/>
          <w:lang w:eastAsia="zh-CN"/>
        </w:rPr>
        <w:t>一</w:t>
      </w:r>
      <w:r>
        <w:rPr>
          <w:rFonts w:hint="eastAsia" w:ascii="仿宋" w:hAnsi="仿宋" w:eastAsia="仿宋" w:cs="仿宋"/>
          <w:color w:val="auto"/>
          <w:kern w:val="0"/>
          <w:sz w:val="21"/>
          <w:szCs w:val="21"/>
          <w:shd w:val="clear" w:color="auto" w:fill="auto"/>
        </w:rPr>
        <w:t>贯制学校，初中和高中可合并设置完全中学;</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lang w:eastAsia="zh-CN"/>
        </w:rPr>
      </w:pPr>
      <w:r>
        <w:rPr>
          <w:rFonts w:hint="eastAsia" w:ascii="仿宋" w:hAnsi="仿宋" w:eastAsia="仿宋" w:cs="仿宋"/>
          <w:color w:val="auto"/>
          <w:kern w:val="0"/>
          <w:sz w:val="21"/>
          <w:szCs w:val="21"/>
          <w:shd w:val="clear" w:color="auto" w:fill="auto"/>
        </w:rPr>
        <w:t>3</w:t>
      </w:r>
      <w:r>
        <w:rPr>
          <w:rFonts w:hint="eastAsia" w:ascii="仿宋" w:hAnsi="仿宋" w:eastAsia="仿宋" w:cs="仿宋"/>
          <w:color w:val="auto"/>
          <w:kern w:val="0"/>
          <w:sz w:val="21"/>
          <w:szCs w:val="21"/>
          <w:shd w:val="clear" w:color="auto" w:fill="auto"/>
          <w:lang w:val="en-US" w:eastAsia="zh-CN"/>
        </w:rPr>
        <w:t>.</w:t>
      </w:r>
      <w:r>
        <w:rPr>
          <w:rFonts w:hint="eastAsia" w:ascii="仿宋" w:hAnsi="仿宋" w:eastAsia="仿宋" w:cs="仿宋"/>
          <w:color w:val="auto"/>
          <w:kern w:val="0"/>
          <w:sz w:val="21"/>
          <w:szCs w:val="21"/>
          <w:shd w:val="clear" w:color="auto" w:fill="auto"/>
        </w:rPr>
        <w:t>承担应急避难功能的配套设施，应满足国家有关应急避难场所的规定</w:t>
      </w:r>
      <w:r>
        <w:rPr>
          <w:rFonts w:hint="eastAsia" w:ascii="仿宋" w:hAnsi="仿宋" w:eastAsia="仿宋" w:cs="仿宋"/>
          <w:color w:val="auto"/>
          <w:kern w:val="0"/>
          <w:sz w:val="21"/>
          <w:szCs w:val="21"/>
          <w:shd w:val="clear" w:color="auto" w:fill="auto"/>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rPr>
      </w:pPr>
      <w:r>
        <w:rPr>
          <w:rFonts w:hint="eastAsia" w:ascii="仿宋" w:hAnsi="仿宋" w:eastAsia="仿宋" w:cs="仿宋"/>
          <w:color w:val="auto"/>
          <w:kern w:val="0"/>
          <w:sz w:val="21"/>
          <w:szCs w:val="21"/>
          <w:shd w:val="clear" w:color="auto" w:fill="auto"/>
          <w:lang w:val="en-US" w:eastAsia="zh-CN"/>
        </w:rPr>
        <w:t>4.</w:t>
      </w:r>
      <w:r>
        <w:rPr>
          <w:rFonts w:hint="eastAsia" w:ascii="仿宋" w:hAnsi="仿宋" w:eastAsia="仿宋" w:cs="仿宋"/>
          <w:color w:val="auto"/>
          <w:kern w:val="0"/>
          <w:sz w:val="21"/>
          <w:szCs w:val="21"/>
          <w:shd w:val="clear" w:color="auto" w:fill="auto"/>
        </w:rPr>
        <w:t>▲为应配建的项目；△为宜设置的项目。</w:t>
      </w:r>
    </w:p>
    <w:p>
      <w:pPr>
        <w:keepNext w:val="0"/>
        <w:keepLines w:val="0"/>
        <w:pageBreakBefore w:val="0"/>
        <w:widowControl/>
        <w:kinsoku/>
        <w:wordWrap/>
        <w:overflowPunct/>
        <w:topLinePunct w:val="0"/>
        <w:autoSpaceDE/>
        <w:bidi w:val="0"/>
        <w:adjustRightInd/>
        <w:snapToGrid/>
        <w:spacing w:line="360" w:lineRule="auto"/>
        <w:ind w:firstLine="420" w:firstLineChars="200"/>
        <w:textAlignment w:val="auto"/>
        <w:rPr>
          <w:rFonts w:hint="eastAsia" w:ascii="仿宋" w:hAnsi="仿宋" w:eastAsia="仿宋" w:cs="仿宋"/>
          <w:color w:val="auto"/>
          <w:kern w:val="0"/>
          <w:sz w:val="21"/>
          <w:szCs w:val="21"/>
          <w:shd w:val="clear" w:color="auto" w:fill="auto"/>
        </w:rPr>
      </w:pP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 w:hAnsi="仿宋" w:eastAsia="仿宋" w:cs="仿宋"/>
          <w:color w:val="auto"/>
          <w:kern w:val="0"/>
          <w:sz w:val="21"/>
          <w:szCs w:val="21"/>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十分钟生活圈居住区配套设施规划设置规定和建设控制要求，并符合表4.4的规定。</w:t>
      </w:r>
    </w:p>
    <w:p>
      <w:pPr>
        <w:keepNext w:val="0"/>
        <w:keepLines w:val="0"/>
        <w:pageBreakBefore w:val="0"/>
        <w:kinsoku/>
        <w:wordWrap/>
        <w:overflowPunct/>
        <w:topLinePunct w:val="0"/>
        <w:autoSpaceDE/>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表4.4  十分钟生活圈居住区配套设施设置规定和规划建设控制要求</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878"/>
        <w:gridCol w:w="1305"/>
        <w:gridCol w:w="3263"/>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46"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设施</w:t>
            </w:r>
          </w:p>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名称</w:t>
            </w:r>
          </w:p>
        </w:tc>
        <w:tc>
          <w:tcPr>
            <w:tcW w:w="481"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kern w:val="24"/>
                <w:sz w:val="24"/>
                <w:szCs w:val="24"/>
                <w:shd w:val="clear" w:color="auto" w:fill="auto"/>
              </w:rPr>
              <w:t>服务内容</w:t>
            </w:r>
          </w:p>
        </w:tc>
        <w:tc>
          <w:tcPr>
            <w:tcW w:w="715"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lang w:eastAsia="zh-CN"/>
              </w:rPr>
            </w:pPr>
            <w:r>
              <w:rPr>
                <w:rFonts w:hint="eastAsia" w:ascii="仿宋" w:hAnsi="仿宋" w:eastAsia="仿宋" w:cs="仿宋"/>
                <w:b/>
                <w:bCs/>
                <w:color w:val="auto"/>
                <w:kern w:val="24"/>
                <w:sz w:val="24"/>
                <w:szCs w:val="24"/>
                <w:shd w:val="clear" w:color="auto" w:fill="auto"/>
                <w:lang w:eastAsia="zh-CN"/>
              </w:rPr>
              <w:t>配建的必要性</w:t>
            </w:r>
          </w:p>
        </w:tc>
        <w:tc>
          <w:tcPr>
            <w:tcW w:w="1787"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lang w:eastAsia="zh-CN"/>
              </w:rPr>
              <w:t>配置要求</w:t>
            </w:r>
          </w:p>
        </w:tc>
        <w:tc>
          <w:tcPr>
            <w:tcW w:w="1669"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lang w:eastAsia="zh-CN"/>
              </w:rPr>
            </w:pPr>
            <w:r>
              <w:rPr>
                <w:rFonts w:hint="eastAsia" w:ascii="仿宋" w:hAnsi="仿宋" w:eastAsia="仿宋" w:cs="仿宋"/>
                <w:b/>
                <w:bCs/>
                <w:color w:val="auto"/>
                <w:kern w:val="24"/>
                <w:sz w:val="24"/>
                <w:szCs w:val="24"/>
                <w:shd w:val="clear" w:color="auto" w:fil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46"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481"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715"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787"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669"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4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小学</w:t>
            </w:r>
            <w:r>
              <w:rPr>
                <w:rFonts w:hint="eastAsia" w:ascii="仿宋" w:hAnsi="仿宋" w:eastAsia="仿宋" w:cs="仿宋"/>
                <w:color w:val="auto"/>
                <w:kern w:val="24"/>
                <w:sz w:val="24"/>
                <w:szCs w:val="24"/>
                <w:shd w:val="clear" w:color="auto" w:fill="auto"/>
                <w:lang w:val="en-US" w:eastAsia="zh-CN"/>
              </w:rPr>
              <w:t>*</w:t>
            </w:r>
          </w:p>
        </w:tc>
        <w:tc>
          <w:tcPr>
            <w:tcW w:w="48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满足</w:t>
            </w:r>
            <w:r>
              <w:rPr>
                <w:rFonts w:hint="eastAsia" w:ascii="仿宋" w:hAnsi="仿宋" w:eastAsia="仿宋" w:cs="仿宋"/>
                <w:color w:val="auto"/>
                <w:kern w:val="24"/>
                <w:sz w:val="24"/>
                <w:szCs w:val="24"/>
                <w:shd w:val="clear" w:color="auto" w:fill="auto"/>
              </w:rPr>
              <w:t>6</w:t>
            </w:r>
            <w:r>
              <w:rPr>
                <w:rFonts w:hint="eastAsia" w:ascii="仿宋" w:hAnsi="仿宋" w:eastAsia="仿宋" w:cs="仿宋"/>
                <w:color w:val="auto"/>
                <w:kern w:val="24"/>
                <w:sz w:val="24"/>
                <w:szCs w:val="24"/>
                <w:shd w:val="clear" w:color="auto" w:fill="auto"/>
                <w:lang w:eastAsia="zh-CN"/>
              </w:rPr>
              <w:t>周岁</w:t>
            </w:r>
            <w:r>
              <w:rPr>
                <w:rFonts w:hint="eastAsia" w:ascii="仿宋" w:hAnsi="仿宋" w:eastAsia="仿宋" w:cs="仿宋"/>
                <w:color w:val="auto"/>
                <w:kern w:val="24"/>
                <w:sz w:val="24"/>
                <w:szCs w:val="24"/>
                <w:shd w:val="clear" w:color="auto" w:fill="auto"/>
              </w:rPr>
              <w:t>-12周岁儿童入学</w:t>
            </w:r>
            <w:r>
              <w:rPr>
                <w:rFonts w:hint="eastAsia" w:ascii="仿宋" w:hAnsi="仿宋" w:eastAsia="仿宋" w:cs="仿宋"/>
                <w:color w:val="auto"/>
                <w:kern w:val="24"/>
                <w:sz w:val="24"/>
                <w:szCs w:val="24"/>
                <w:shd w:val="clear" w:color="auto" w:fill="auto"/>
                <w:lang w:eastAsia="zh-CN"/>
              </w:rPr>
              <w:t>要求</w:t>
            </w:r>
          </w:p>
        </w:tc>
        <w:tc>
          <w:tcPr>
            <w:tcW w:w="715"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zh-CN" w:eastAsia="zh-CN" w:bidi="ar-SA"/>
              </w:rPr>
            </w:pPr>
            <w:r>
              <w:rPr>
                <w:rFonts w:hint="eastAsia" w:ascii="仿宋" w:hAnsi="仿宋" w:eastAsia="仿宋" w:cs="仿宋"/>
                <w:color w:val="auto"/>
                <w:kern w:val="0"/>
                <w:sz w:val="24"/>
                <w:szCs w:val="24"/>
                <w:shd w:val="clear" w:color="auto" w:fill="auto"/>
              </w:rPr>
              <w:t>▲</w:t>
            </w:r>
          </w:p>
        </w:tc>
        <w:tc>
          <w:tcPr>
            <w:tcW w:w="1787"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zh-CN" w:eastAsia="zh-CN"/>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lang w:val="zh-CN" w:eastAsia="zh-CN"/>
              </w:rPr>
              <w:t>）非完全小学：2～4 个班，每班不超过 30 人。</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zh-CN" w:eastAsia="zh-CN"/>
              </w:rPr>
              <w:t>（</w:t>
            </w:r>
            <w:r>
              <w:rPr>
                <w:rFonts w:hint="eastAsia" w:ascii="仿宋" w:hAnsi="仿宋" w:eastAsia="仿宋" w:cs="仿宋"/>
                <w:color w:val="auto"/>
                <w:kern w:val="24"/>
                <w:sz w:val="24"/>
                <w:szCs w:val="24"/>
                <w:shd w:val="clear" w:color="auto" w:fill="auto"/>
                <w:lang w:val="en-US" w:eastAsia="zh-CN"/>
              </w:rPr>
              <w:t>2</w:t>
            </w:r>
            <w:r>
              <w:rPr>
                <w:rFonts w:hint="eastAsia" w:ascii="仿宋" w:hAnsi="仿宋" w:eastAsia="仿宋" w:cs="仿宋"/>
                <w:color w:val="auto"/>
                <w:kern w:val="24"/>
                <w:sz w:val="24"/>
                <w:szCs w:val="24"/>
                <w:shd w:val="clear" w:color="auto" w:fill="auto"/>
                <w:lang w:val="zh-CN" w:eastAsia="zh-CN"/>
              </w:rPr>
              <w:t>）完全小学：</w:t>
            </w:r>
            <w:r>
              <w:rPr>
                <w:rFonts w:hint="eastAsia" w:ascii="仿宋" w:hAnsi="仿宋" w:eastAsia="仿宋" w:cs="仿宋"/>
                <w:color w:val="auto"/>
                <w:kern w:val="24"/>
                <w:sz w:val="24"/>
                <w:szCs w:val="24"/>
                <w:shd w:val="clear" w:color="auto" w:fill="auto"/>
                <w:lang w:val="en-US" w:eastAsia="zh-CN"/>
              </w:rPr>
              <w:t>建议</w:t>
            </w:r>
            <w:r>
              <w:rPr>
                <w:rFonts w:hint="eastAsia" w:ascii="仿宋" w:hAnsi="仿宋" w:eastAsia="仿宋" w:cs="仿宋"/>
                <w:color w:val="auto"/>
                <w:kern w:val="24"/>
                <w:sz w:val="24"/>
                <w:szCs w:val="24"/>
                <w:shd w:val="clear" w:color="auto" w:fill="auto"/>
                <w:lang w:val="zh-CN" w:eastAsia="zh-CN"/>
              </w:rPr>
              <w:t>12～36 个班，每班不超过 45 人。</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（3）每千人口按80名小学生计算配建相应规模小学</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zh-CN" w:eastAsia="zh-CN"/>
              </w:rPr>
              <w:t>（</w:t>
            </w:r>
            <w:r>
              <w:rPr>
                <w:rFonts w:hint="eastAsia" w:ascii="仿宋" w:hAnsi="仿宋" w:eastAsia="仿宋" w:cs="仿宋"/>
                <w:color w:val="auto"/>
                <w:kern w:val="24"/>
                <w:sz w:val="24"/>
                <w:szCs w:val="24"/>
                <w:shd w:val="clear" w:color="auto" w:fill="auto"/>
                <w:lang w:val="en-US" w:eastAsia="zh-CN"/>
              </w:rPr>
              <w:t>4</w:t>
            </w:r>
            <w:r>
              <w:rPr>
                <w:rFonts w:hint="eastAsia" w:ascii="仿宋" w:hAnsi="仿宋" w:eastAsia="仿宋" w:cs="仿宋"/>
                <w:color w:val="auto"/>
                <w:kern w:val="24"/>
                <w:sz w:val="24"/>
                <w:szCs w:val="24"/>
                <w:shd w:val="clear" w:color="auto" w:fill="auto"/>
                <w:lang w:val="zh-CN" w:eastAsia="zh-CN"/>
              </w:rPr>
              <w:t>）学校建筑用地容积率应控制在0.6～0.8，老城区学校建筑用地容积率应控制在0.9～1.2。</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zh-CN" w:eastAsia="zh-CN"/>
              </w:rPr>
              <w:t>（</w:t>
            </w:r>
            <w:r>
              <w:rPr>
                <w:rFonts w:hint="eastAsia" w:ascii="仿宋" w:hAnsi="仿宋" w:eastAsia="仿宋" w:cs="仿宋"/>
                <w:color w:val="auto"/>
                <w:kern w:val="24"/>
                <w:sz w:val="24"/>
                <w:szCs w:val="24"/>
                <w:shd w:val="clear" w:color="auto" w:fill="auto"/>
                <w:lang w:val="en-US" w:eastAsia="zh-CN"/>
              </w:rPr>
              <w:t>5</w:t>
            </w:r>
            <w:r>
              <w:rPr>
                <w:rFonts w:hint="eastAsia" w:ascii="仿宋" w:hAnsi="仿宋" w:eastAsia="仿宋" w:cs="仿宋"/>
                <w:color w:val="auto"/>
                <w:kern w:val="24"/>
                <w:sz w:val="24"/>
                <w:szCs w:val="24"/>
                <w:shd w:val="clear" w:color="auto" w:fill="auto"/>
                <w:lang w:val="zh-CN" w:eastAsia="zh-CN"/>
              </w:rPr>
              <w:t>）学校绿地率应控制在35%～45%。</w:t>
            </w:r>
          </w:p>
        </w:tc>
        <w:tc>
          <w:tcPr>
            <w:tcW w:w="1669"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eastAsia="zh-CN"/>
              </w:rPr>
              <w:t>选址应避开城市赶到交叉口等交通繁忙路段；</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2)服务半径不宜大于500m；学生上下学穿越城市道路时，应有相应的安全措施；</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(3)学校规模应根据适龄儿童人口确定，且不宜超过36个班；</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(4)应设不低于200m环形跑道和60m直跑道，并配置符合标准的球类场地；</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（5）鼓励教学区和运动场地相对独立设置，并向社会错时开放运动场地；</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（6）宜独立占地。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4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中型</w:t>
            </w:r>
            <w:r>
              <w:rPr>
                <w:rFonts w:hint="eastAsia" w:ascii="仿宋" w:hAnsi="仿宋" w:eastAsia="仿宋" w:cs="仿宋"/>
                <w:color w:val="auto"/>
                <w:kern w:val="24"/>
                <w:sz w:val="24"/>
                <w:szCs w:val="24"/>
                <w:shd w:val="clear" w:color="auto" w:fill="auto"/>
                <w:lang w:eastAsia="zh-CN"/>
              </w:rPr>
              <w:t>多功能运动</w:t>
            </w:r>
            <w:r>
              <w:rPr>
                <w:rFonts w:hint="eastAsia" w:ascii="仿宋" w:hAnsi="仿宋" w:eastAsia="仿宋" w:cs="仿宋"/>
                <w:color w:val="auto"/>
                <w:kern w:val="24"/>
                <w:sz w:val="24"/>
                <w:szCs w:val="24"/>
                <w:shd w:val="clear" w:color="auto" w:fill="auto"/>
              </w:rPr>
              <w:t>场地</w:t>
            </w:r>
          </w:p>
        </w:tc>
        <w:tc>
          <w:tcPr>
            <w:tcW w:w="481"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eastAsia="zh-CN"/>
              </w:rPr>
              <w:t>多功能运动场地或同等规模的球类场地</w:t>
            </w:r>
          </w:p>
        </w:tc>
        <w:tc>
          <w:tcPr>
            <w:tcW w:w="715"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787"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eastAsia="zh-CN"/>
              </w:rPr>
              <w:t>用地面积为</w:t>
            </w: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24"/>
                <w:sz w:val="24"/>
                <w:szCs w:val="24"/>
                <w:shd w:val="clear" w:color="auto" w:fill="auto"/>
                <w:lang w:val="en-US" w:eastAsia="zh-CN"/>
              </w:rPr>
              <w:t>310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2460</w:t>
            </w:r>
            <w:r>
              <w:rPr>
                <w:rFonts w:hint="eastAsia" w:ascii="仿宋" w:hAnsi="仿宋" w:eastAsia="仿宋" w:cs="仿宋"/>
                <w:color w:val="auto"/>
                <w:kern w:val="24"/>
                <w:sz w:val="24"/>
                <w:szCs w:val="24"/>
                <w:shd w:val="clear" w:color="auto" w:fill="auto"/>
              </w:rPr>
              <w:t>m</w:t>
            </w:r>
            <w:r>
              <w:rPr>
                <w:rFonts w:hint="eastAsia" w:ascii="仿宋" w:hAnsi="仿宋" w:eastAsia="仿宋" w:cs="仿宋"/>
                <w:color w:val="auto"/>
                <w:kern w:val="24"/>
                <w:sz w:val="24"/>
                <w:szCs w:val="24"/>
                <w:shd w:val="clear" w:color="auto" w:fill="auto"/>
                <w:vertAlign w:val="superscript"/>
              </w:rPr>
              <w:t>2</w:t>
            </w:r>
          </w:p>
        </w:tc>
        <w:tc>
          <w:tcPr>
            <w:tcW w:w="1669"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（1）宜结合公共绿地等公共活动空间统筹布局；</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（2）服务半径不宜大于500m；</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（3）宜集中设置篮球、排球、5人足球场；</w:t>
            </w:r>
          </w:p>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default"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val="en-US" w:eastAsia="zh-CN"/>
              </w:rPr>
              <w:t>（4）宜独立占地。</w:t>
            </w:r>
          </w:p>
        </w:tc>
      </w:tr>
    </w:tbl>
    <w:p>
      <w:pPr>
        <w:keepNext w:val="0"/>
        <w:keepLines w:val="0"/>
        <w:pageBreakBefore w:val="0"/>
        <w:widowControl/>
        <w:kinsoku/>
        <w:wordWrap/>
        <w:overflowPunct/>
        <w:topLinePunct w:val="0"/>
        <w:autoSpaceDE/>
        <w:bidi w:val="0"/>
        <w:adjustRightInd/>
        <w:snapToGrid/>
        <w:spacing w:line="360" w:lineRule="auto"/>
        <w:ind w:firstLine="420" w:firstLineChars="200"/>
        <w:textAlignment w:val="auto"/>
        <w:rPr>
          <w:rFonts w:hint="eastAsia" w:ascii="仿宋" w:hAnsi="仿宋" w:eastAsia="仿宋" w:cs="仿宋"/>
          <w:color w:val="auto"/>
          <w:kern w:val="0"/>
          <w:sz w:val="21"/>
          <w:szCs w:val="21"/>
          <w:shd w:val="clear" w:color="auto" w:fill="auto"/>
          <w:lang w:eastAsia="zh-CN"/>
        </w:rPr>
      </w:pPr>
      <w:r>
        <w:rPr>
          <w:rFonts w:hint="eastAsia" w:ascii="仿宋" w:hAnsi="仿宋" w:eastAsia="仿宋" w:cs="仿宋"/>
          <w:color w:val="auto"/>
          <w:kern w:val="0"/>
          <w:sz w:val="21"/>
          <w:szCs w:val="21"/>
          <w:shd w:val="clear" w:color="auto" w:fill="auto"/>
        </w:rPr>
        <w:t>注：▲为应配建的项目</w:t>
      </w:r>
      <w:r>
        <w:rPr>
          <w:rFonts w:hint="eastAsia" w:ascii="仿宋" w:hAnsi="仿宋" w:eastAsia="仿宋" w:cs="仿宋"/>
          <w:color w:val="auto"/>
          <w:kern w:val="0"/>
          <w:sz w:val="21"/>
          <w:szCs w:val="21"/>
          <w:shd w:val="clear" w:color="auto" w:fill="auto"/>
          <w:lang w:eastAsia="zh-CN"/>
        </w:rPr>
        <w:t>。</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24"/>
          <w:szCs w:val="24"/>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五分钟生活圈居住区配套设施规划设置规定和建设控制要求，并符合表4.5的规定。</w:t>
      </w:r>
    </w:p>
    <w:p>
      <w:pPr>
        <w:keepNext w:val="0"/>
        <w:keepLines w:val="0"/>
        <w:pageBreakBefore w:val="0"/>
        <w:kinsoku/>
        <w:wordWrap/>
        <w:overflowPunct/>
        <w:topLinePunct w:val="0"/>
        <w:autoSpaceDE/>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表4.5  五分钟生活圈配套设施规划建设控制要求</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1187"/>
        <w:gridCol w:w="1107"/>
        <w:gridCol w:w="2713"/>
        <w:gridCol w:w="3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tblHeader/>
        </w:trPr>
        <w:tc>
          <w:tcPr>
            <w:tcW w:w="378" w:type="pct"/>
            <w:vMerge w:val="restar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设施</w:t>
            </w:r>
          </w:p>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名称</w:t>
            </w:r>
          </w:p>
        </w:tc>
        <w:tc>
          <w:tcPr>
            <w:tcW w:w="650" w:type="pct"/>
            <w:vMerge w:val="restar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kern w:val="24"/>
                <w:sz w:val="24"/>
                <w:szCs w:val="24"/>
                <w:shd w:val="clear" w:color="auto" w:fill="auto"/>
              </w:rPr>
              <w:t>服务内容</w:t>
            </w:r>
          </w:p>
        </w:tc>
        <w:tc>
          <w:tcPr>
            <w:tcW w:w="606"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lang w:eastAsia="zh-CN"/>
              </w:rPr>
              <w:t>配建的必要性</w:t>
            </w:r>
          </w:p>
        </w:tc>
        <w:tc>
          <w:tcPr>
            <w:tcW w:w="1486"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lang w:eastAsia="zh-CN"/>
              </w:rPr>
              <w:t>配置要求</w:t>
            </w:r>
          </w:p>
        </w:tc>
        <w:tc>
          <w:tcPr>
            <w:tcW w:w="1878"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78" w:type="pct"/>
            <w:vMerge w:val="continue"/>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650" w:type="pct"/>
            <w:vMerge w:val="continue"/>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606" w:type="pct"/>
            <w:vMerge w:val="continue"/>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486" w:type="pct"/>
            <w:vMerge w:val="continue"/>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878" w:type="pct"/>
            <w:vMerge w:val="continue"/>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社区</w:t>
            </w:r>
          </w:p>
          <w:p>
            <w:pPr>
              <w:keepNext w:val="0"/>
              <w:keepLines w:val="0"/>
              <w:pageBreakBefore w:val="0"/>
              <w:widowControl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kern w:val="0"/>
                <w:sz w:val="24"/>
                <w:szCs w:val="24"/>
                <w:shd w:val="clear" w:color="auto" w:fill="auto"/>
              </w:rPr>
              <w:t>服务站</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kern w:val="0"/>
                <w:sz w:val="24"/>
                <w:szCs w:val="24"/>
                <w:shd w:val="clear" w:color="auto" w:fill="auto"/>
              </w:rPr>
              <w:t>社区服务站含社区服务大厅、警务室、社区</w:t>
            </w:r>
            <w:r>
              <w:rPr>
                <w:rFonts w:hint="eastAsia" w:ascii="仿宋" w:hAnsi="仿宋" w:eastAsia="仿宋" w:cs="仿宋"/>
                <w:color w:val="auto"/>
                <w:kern w:val="0"/>
                <w:sz w:val="24"/>
                <w:szCs w:val="24"/>
                <w:shd w:val="clear" w:color="auto" w:fill="auto"/>
                <w:lang w:eastAsia="zh-CN"/>
              </w:rPr>
              <w:t>居委会</w:t>
            </w:r>
            <w:r>
              <w:rPr>
                <w:rFonts w:hint="eastAsia" w:ascii="仿宋" w:hAnsi="仿宋" w:eastAsia="仿宋" w:cs="仿宋"/>
                <w:color w:val="auto"/>
                <w:kern w:val="0"/>
                <w:sz w:val="24"/>
                <w:szCs w:val="24"/>
                <w:shd w:val="clear" w:color="auto" w:fill="auto"/>
              </w:rPr>
              <w:t>办公室、居民活动用房，活动室、阅览室</w:t>
            </w:r>
            <w:r>
              <w:rPr>
                <w:rFonts w:hint="eastAsia" w:ascii="仿宋" w:hAnsi="仿宋" w:eastAsia="仿宋" w:cs="仿宋"/>
                <w:color w:val="auto"/>
                <w:kern w:val="0"/>
                <w:sz w:val="24"/>
                <w:szCs w:val="24"/>
                <w:shd w:val="clear" w:color="auto" w:fill="auto"/>
                <w:lang w:eastAsia="zh-CN"/>
              </w:rPr>
              <w:t>、残疾人康复室</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b/>
                <w:bCs/>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0"/>
                <w:sz w:val="24"/>
                <w:szCs w:val="24"/>
                <w:shd w:val="clear" w:color="auto" w:fill="auto"/>
              </w:rPr>
              <w:t>600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0"/>
                <w:sz w:val="24"/>
                <w:szCs w:val="24"/>
                <w:shd w:val="clear" w:color="auto" w:fill="auto"/>
              </w:rPr>
              <w:t>1</w:t>
            </w:r>
            <w:r>
              <w:rPr>
                <w:rFonts w:hint="eastAsia" w:ascii="仿宋" w:hAnsi="仿宋" w:eastAsia="仿宋" w:cs="仿宋"/>
                <w:color w:val="auto"/>
                <w:kern w:val="0"/>
                <w:sz w:val="24"/>
                <w:szCs w:val="24"/>
                <w:shd w:val="clear" w:color="auto" w:fill="auto"/>
                <w:lang w:val="en-US" w:eastAsia="zh-CN"/>
              </w:rPr>
              <w:t>0</w:t>
            </w:r>
            <w:r>
              <w:rPr>
                <w:rFonts w:hint="eastAsia" w:ascii="仿宋" w:hAnsi="仿宋" w:eastAsia="仿宋" w:cs="仿宋"/>
                <w:color w:val="auto"/>
                <w:kern w:val="0"/>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b w:val="0"/>
                <w:bCs w:val="0"/>
                <w:color w:val="auto"/>
                <w:kern w:val="0"/>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0"/>
                <w:sz w:val="24"/>
                <w:szCs w:val="24"/>
                <w:shd w:val="clear" w:color="auto" w:fill="auto"/>
              </w:rPr>
              <w:t>500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0"/>
                <w:sz w:val="24"/>
                <w:szCs w:val="24"/>
                <w:shd w:val="clear" w:color="auto" w:fill="auto"/>
                <w:lang w:val="en-US" w:eastAsia="zh-CN"/>
              </w:rPr>
              <w:t>8</w:t>
            </w:r>
            <w:r>
              <w:rPr>
                <w:rFonts w:hint="eastAsia" w:ascii="仿宋" w:hAnsi="仿宋" w:eastAsia="仿宋" w:cs="仿宋"/>
                <w:color w:val="auto"/>
                <w:kern w:val="0"/>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13"/>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服务半径300m；</w:t>
            </w:r>
          </w:p>
          <w:p>
            <w:pPr>
              <w:keepNext w:val="0"/>
              <w:keepLines w:val="0"/>
              <w:pageBreakBefore w:val="0"/>
              <w:widowControl w:val="0"/>
              <w:numPr>
                <w:ilvl w:val="0"/>
                <w:numId w:val="13"/>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rPr>
              <w:t>建筑面积不得低于600</w:t>
            </w:r>
            <w:r>
              <w:rPr>
                <w:rFonts w:hint="eastAsia" w:ascii="仿宋" w:hAnsi="仿宋" w:eastAsia="仿宋" w:cs="仿宋"/>
                <w:color w:val="auto"/>
                <w:sz w:val="24"/>
                <w:szCs w:val="24"/>
                <w:shd w:val="clear" w:color="auto" w:fill="auto"/>
              </w:rPr>
              <w:t>m</w:t>
            </w:r>
            <w:r>
              <w:rPr>
                <w:rFonts w:hint="eastAsia" w:ascii="仿宋" w:hAnsi="仿宋" w:eastAsia="仿宋" w:cs="仿宋"/>
                <w:color w:val="auto"/>
                <w:sz w:val="24"/>
                <w:szCs w:val="24"/>
                <w:shd w:val="clear" w:color="auto" w:fill="auto"/>
                <w:vertAlign w:val="superscript"/>
              </w:rPr>
              <w:t>2</w:t>
            </w:r>
            <w:r>
              <w:rPr>
                <w:rFonts w:hint="eastAsia" w:ascii="仿宋" w:hAnsi="仿宋" w:eastAsia="仿宋" w:cs="仿宋"/>
                <w:color w:val="auto"/>
                <w:sz w:val="24"/>
                <w:szCs w:val="24"/>
                <w:shd w:val="clear" w:color="auto" w:fill="auto"/>
                <w:vertAlign w:val="baseline"/>
                <w:lang w:eastAsia="zh-CN"/>
              </w:rPr>
              <w:t>；</w:t>
            </w:r>
          </w:p>
          <w:p>
            <w:pPr>
              <w:keepNext w:val="0"/>
              <w:keepLines w:val="0"/>
              <w:pageBreakBefore w:val="0"/>
              <w:widowControl w:val="0"/>
              <w:numPr>
                <w:ilvl w:val="0"/>
                <w:numId w:val="13"/>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b w:val="0"/>
                <w:bCs w:val="0"/>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社区食堂</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为社区居民尤其是老年人提供助餐服务</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b/>
                <w:bCs/>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b w:val="0"/>
                <w:bCs w:val="0"/>
                <w:color w:val="auto"/>
                <w:kern w:val="0"/>
                <w:sz w:val="24"/>
                <w:szCs w:val="24"/>
                <w:shd w:val="clear" w:color="auto" w:fill="auto"/>
                <w:lang w:eastAsia="zh-CN"/>
              </w:rPr>
            </w:pP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b w:val="0"/>
                <w:bCs w:val="0"/>
                <w:color w:val="auto"/>
                <w:kern w:val="0"/>
                <w:sz w:val="24"/>
                <w:szCs w:val="24"/>
                <w:shd w:val="clear" w:color="auto" w:fill="auto"/>
                <w:lang w:eastAsia="zh-CN"/>
              </w:rPr>
              <w:t>可联合建设，</w:t>
            </w:r>
            <w:r>
              <w:rPr>
                <w:rFonts w:hint="eastAsia" w:ascii="仿宋" w:hAnsi="仿宋" w:eastAsia="仿宋" w:cs="仿宋"/>
                <w:color w:val="auto"/>
                <w:kern w:val="0"/>
                <w:sz w:val="24"/>
                <w:szCs w:val="24"/>
                <w:shd w:val="clear" w:color="auto" w:fill="auto"/>
                <w:lang w:eastAsia="zh-CN"/>
              </w:rPr>
              <w:t>宜结合社区服务站、文化活动站等设置。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文化</w:t>
            </w:r>
          </w:p>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24"/>
                <w:sz w:val="24"/>
                <w:szCs w:val="24"/>
                <w:shd w:val="clear" w:color="auto" w:fill="auto"/>
              </w:rPr>
              <w:t>活动站</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kern w:val="24"/>
                <w:sz w:val="24"/>
                <w:szCs w:val="24"/>
                <w:shd w:val="clear" w:color="auto" w:fill="auto"/>
              </w:rPr>
              <w:t>书报阅览、书画、文娱、健身、音乐欣赏、茶座等主要供青少年和老年人活动</w:t>
            </w:r>
            <w:r>
              <w:rPr>
                <w:rFonts w:hint="eastAsia" w:ascii="仿宋" w:hAnsi="仿宋" w:eastAsia="仿宋" w:cs="仿宋"/>
                <w:color w:val="auto"/>
                <w:kern w:val="24"/>
                <w:sz w:val="24"/>
                <w:szCs w:val="24"/>
                <w:shd w:val="clear" w:color="auto" w:fill="auto"/>
                <w:lang w:eastAsia="zh-CN"/>
              </w:rPr>
              <w:t>场所</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建筑面积250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12</w:t>
            </w:r>
            <w:r>
              <w:rPr>
                <w:rFonts w:hint="eastAsia" w:ascii="仿宋" w:hAnsi="仿宋" w:eastAsia="仿宋" w:cs="仿宋"/>
                <w:color w:val="auto"/>
                <w:kern w:val="24"/>
                <w:sz w:val="24"/>
                <w:szCs w:val="24"/>
                <w:shd w:val="clear" w:color="auto" w:fill="auto"/>
              </w:rPr>
              <w:t>00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14"/>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b w:val="0"/>
                <w:bCs w:val="0"/>
                <w:color w:val="auto"/>
                <w:kern w:val="0"/>
                <w:sz w:val="24"/>
                <w:szCs w:val="24"/>
                <w:shd w:val="clear" w:color="auto" w:fill="auto"/>
                <w:lang w:eastAsia="zh-CN"/>
              </w:rPr>
              <w:t>可联合建设，</w:t>
            </w:r>
            <w:r>
              <w:rPr>
                <w:rFonts w:hint="eastAsia" w:ascii="仿宋" w:hAnsi="仿宋" w:eastAsia="仿宋" w:cs="仿宋"/>
                <w:color w:val="auto"/>
                <w:kern w:val="24"/>
                <w:sz w:val="24"/>
                <w:szCs w:val="24"/>
                <w:shd w:val="clear" w:color="auto" w:fill="auto"/>
              </w:rPr>
              <w:t>宜结合或靠近</w:t>
            </w:r>
            <w:r>
              <w:rPr>
                <w:rFonts w:hint="eastAsia" w:ascii="仿宋" w:hAnsi="仿宋" w:eastAsia="仿宋" w:cs="仿宋"/>
                <w:color w:val="auto"/>
                <w:kern w:val="24"/>
                <w:sz w:val="24"/>
                <w:szCs w:val="24"/>
                <w:shd w:val="clear" w:color="auto" w:fill="auto"/>
                <w:lang w:eastAsia="zh-CN"/>
              </w:rPr>
              <w:t>公共</w:t>
            </w:r>
            <w:r>
              <w:rPr>
                <w:rFonts w:hint="eastAsia" w:ascii="仿宋" w:hAnsi="仿宋" w:eastAsia="仿宋" w:cs="仿宋"/>
                <w:color w:val="auto"/>
                <w:kern w:val="24"/>
                <w:sz w:val="24"/>
                <w:szCs w:val="24"/>
                <w:shd w:val="clear" w:color="auto" w:fill="auto"/>
              </w:rPr>
              <w:t>绿地</w:t>
            </w:r>
            <w:r>
              <w:rPr>
                <w:rFonts w:hint="eastAsia" w:ascii="仿宋" w:hAnsi="仿宋" w:eastAsia="仿宋" w:cs="仿宋"/>
                <w:color w:val="auto"/>
                <w:kern w:val="24"/>
                <w:sz w:val="24"/>
                <w:szCs w:val="24"/>
                <w:shd w:val="clear" w:color="auto" w:fill="auto"/>
                <w:lang w:eastAsia="zh-CN"/>
              </w:rPr>
              <w:t>设置；</w:t>
            </w:r>
          </w:p>
          <w:p>
            <w:pPr>
              <w:keepNext w:val="0"/>
              <w:keepLines w:val="0"/>
              <w:pageBreakBefore w:val="0"/>
              <w:widowControl w:val="0"/>
              <w:numPr>
                <w:ilvl w:val="0"/>
                <w:numId w:val="14"/>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服务半径不宜大于500m</w:t>
            </w:r>
            <w:r>
              <w:rPr>
                <w:rFonts w:hint="eastAsia" w:ascii="仿宋" w:hAnsi="仿宋" w:eastAsia="仿宋" w:cs="仿宋"/>
                <w:color w:val="auto"/>
                <w:kern w:val="24"/>
                <w:sz w:val="24"/>
                <w:szCs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小型</w:t>
            </w:r>
            <w:r>
              <w:rPr>
                <w:rFonts w:hint="eastAsia" w:ascii="仿宋" w:hAnsi="仿宋" w:eastAsia="仿宋" w:cs="仿宋"/>
                <w:color w:val="auto"/>
                <w:kern w:val="24"/>
                <w:sz w:val="24"/>
                <w:szCs w:val="24"/>
                <w:shd w:val="clear" w:color="auto" w:fill="auto"/>
                <w:lang w:eastAsia="zh-CN"/>
              </w:rPr>
              <w:t>多功能运动（</w:t>
            </w:r>
            <w:r>
              <w:rPr>
                <w:rFonts w:hint="eastAsia" w:ascii="仿宋" w:hAnsi="仿宋" w:eastAsia="仿宋" w:cs="仿宋"/>
                <w:color w:val="auto"/>
                <w:kern w:val="24"/>
                <w:sz w:val="24"/>
                <w:szCs w:val="24"/>
                <w:shd w:val="clear" w:color="auto" w:fill="auto"/>
              </w:rPr>
              <w:t>球类</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rPr>
              <w:t>场地</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小型多功能运动场地或同等规模的球类场地</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leftChars="0"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用地面积77</w:t>
            </w:r>
            <w:r>
              <w:rPr>
                <w:rFonts w:hint="eastAsia" w:ascii="仿宋" w:hAnsi="仿宋" w:eastAsia="仿宋" w:cs="仿宋"/>
                <w:color w:val="auto"/>
                <w:kern w:val="24"/>
                <w:sz w:val="24"/>
                <w:szCs w:val="24"/>
                <w:shd w:val="clear" w:color="auto" w:fill="auto"/>
              </w:rPr>
              <w:t>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1310</w:t>
            </w:r>
            <w:r>
              <w:rPr>
                <w:rFonts w:hint="eastAsia" w:ascii="仿宋" w:hAnsi="仿宋" w:eastAsia="仿宋" w:cs="仿宋"/>
                <w:color w:val="auto"/>
                <w:kern w:val="24"/>
                <w:sz w:val="24"/>
                <w:szCs w:val="24"/>
                <w:shd w:val="clear" w:color="auto" w:fill="auto"/>
                <w:lang w:val="zh-CN" w:eastAsia="zh-CN"/>
              </w:rPr>
              <w:t>m²</w:t>
            </w:r>
          </w:p>
        </w:tc>
        <w:tc>
          <w:tcPr>
            <w:tcW w:w="1878" w:type="pct"/>
            <w:noWrap w:val="0"/>
            <w:tcMar>
              <w:top w:w="15" w:type="dxa"/>
              <w:left w:w="15" w:type="dxa"/>
              <w:bottom w:w="0" w:type="dxa"/>
              <w:right w:w="15" w:type="dxa"/>
            </w:tcMar>
            <w:vAlign w:val="center"/>
          </w:tcPr>
          <w:p>
            <w:pPr>
              <w:pStyle w:val="33"/>
              <w:keepNext w:val="0"/>
              <w:keepLines w:val="0"/>
              <w:pageBreakBefore w:val="0"/>
              <w:widowControl w:val="0"/>
              <w:numPr>
                <w:ilvl w:val="0"/>
                <w:numId w:val="0"/>
              </w:numPr>
              <w:kinsoku/>
              <w:wordWrap/>
              <w:overflowPunct/>
              <w:topLinePunct w:val="0"/>
              <w:autoSpaceDE/>
              <w:bidi w:val="0"/>
              <w:adjustRightInd/>
              <w:snapToGrid/>
              <w:spacing w:line="240" w:lineRule="auto"/>
              <w:ind w:leftChars="0"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lang w:val="en-US" w:eastAsia="zh-CN"/>
              </w:rPr>
              <w:t>1</w:t>
            </w:r>
            <w:r>
              <w:rPr>
                <w:rFonts w:hint="eastAsia" w:ascii="仿宋" w:hAnsi="仿宋" w:eastAsia="仿宋" w:cs="仿宋"/>
                <w:color w:val="auto"/>
                <w:kern w:val="24"/>
                <w:sz w:val="24"/>
                <w:szCs w:val="24"/>
                <w:shd w:val="clear" w:color="auto" w:fill="auto"/>
                <w:lang w:eastAsia="zh-CN"/>
              </w:rPr>
              <w:t>）</w:t>
            </w:r>
            <w:r>
              <w:rPr>
                <w:rFonts w:hint="eastAsia" w:ascii="仿宋" w:hAnsi="仿宋" w:eastAsia="仿宋" w:cs="仿宋"/>
                <w:color w:val="auto"/>
                <w:kern w:val="24"/>
                <w:sz w:val="24"/>
                <w:szCs w:val="24"/>
                <w:shd w:val="clear" w:color="auto" w:fill="auto"/>
              </w:rPr>
              <w:t>服务半径不宜大于300m</w:t>
            </w:r>
            <w:r>
              <w:rPr>
                <w:rFonts w:hint="eastAsia" w:ascii="仿宋" w:hAnsi="仿宋" w:eastAsia="仿宋" w:cs="仿宋"/>
                <w:color w:val="auto"/>
                <w:kern w:val="24"/>
                <w:sz w:val="24"/>
                <w:szCs w:val="24"/>
                <w:shd w:val="clear" w:color="auto" w:fill="auto"/>
                <w:lang w:eastAsia="zh-CN"/>
              </w:rPr>
              <w:t>；</w:t>
            </w:r>
          </w:p>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vertAlign w:val="superscript"/>
                <w:lang w:eastAsia="zh-CN"/>
              </w:rPr>
            </w:pPr>
            <w:r>
              <w:rPr>
                <w:rFonts w:hint="eastAsia" w:ascii="仿宋" w:hAnsi="仿宋" w:eastAsia="仿宋" w:cs="仿宋"/>
                <w:color w:val="auto"/>
                <w:kern w:val="24"/>
                <w:sz w:val="24"/>
                <w:szCs w:val="24"/>
                <w:shd w:val="clear" w:color="auto" w:fill="auto"/>
              </w:rPr>
              <w:t>(2)用地面积不宜小于800</w:t>
            </w:r>
            <w:r>
              <w:rPr>
                <w:rFonts w:hint="eastAsia" w:ascii="仿宋" w:hAnsi="仿宋" w:eastAsia="仿宋" w:cs="仿宋"/>
                <w:color w:val="auto"/>
                <w:sz w:val="24"/>
                <w:szCs w:val="24"/>
                <w:shd w:val="clear" w:color="auto" w:fill="auto"/>
              </w:rPr>
              <w:t>m</w:t>
            </w:r>
            <w:r>
              <w:rPr>
                <w:rFonts w:hint="eastAsia" w:ascii="仿宋" w:hAnsi="仿宋" w:eastAsia="仿宋" w:cs="仿宋"/>
                <w:color w:val="auto"/>
                <w:sz w:val="24"/>
                <w:szCs w:val="24"/>
                <w:shd w:val="clear" w:color="auto" w:fill="auto"/>
                <w:vertAlign w:val="superscript"/>
              </w:rPr>
              <w:t>2</w:t>
            </w:r>
            <w:r>
              <w:rPr>
                <w:rFonts w:hint="eastAsia" w:ascii="仿宋" w:hAnsi="仿宋" w:eastAsia="仿宋" w:cs="仿宋"/>
                <w:color w:val="auto"/>
                <w:sz w:val="24"/>
                <w:szCs w:val="24"/>
                <w:shd w:val="clear" w:color="auto" w:fill="auto"/>
                <w:vertAlign w:val="baseline"/>
                <w:lang w:eastAsia="zh-CN"/>
              </w:rPr>
              <w:t>；</w:t>
            </w:r>
          </w:p>
          <w:p>
            <w:pPr>
              <w:keepNext w:val="0"/>
              <w:keepLines w:val="0"/>
              <w:pageBreakBefore w:val="0"/>
              <w:widowControl w:val="0"/>
              <w:numPr>
                <w:ilvl w:val="0"/>
                <w:numId w:val="14"/>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24"/>
                <w:sz w:val="24"/>
                <w:szCs w:val="24"/>
                <w:shd w:val="clear" w:color="auto" w:fill="auto"/>
                <w:lang w:eastAsia="zh-CN"/>
              </w:rPr>
              <w:t>宜配置半场篮球场</w:t>
            </w:r>
            <w:r>
              <w:rPr>
                <w:rFonts w:hint="eastAsia" w:ascii="仿宋" w:hAnsi="仿宋" w:eastAsia="仿宋" w:cs="仿宋"/>
                <w:color w:val="auto"/>
                <w:kern w:val="24"/>
                <w:sz w:val="24"/>
                <w:szCs w:val="24"/>
                <w:shd w:val="clear" w:color="auto" w:fill="auto"/>
                <w:lang w:val="en-US" w:eastAsia="zh-CN"/>
              </w:rPr>
              <w:t>1个、门球场地1个，乒乓球场地2个；</w:t>
            </w:r>
          </w:p>
          <w:p>
            <w:pPr>
              <w:keepNext w:val="0"/>
              <w:keepLines w:val="0"/>
              <w:pageBreakBefore w:val="0"/>
              <w:widowControl w:val="0"/>
              <w:numPr>
                <w:ilvl w:val="0"/>
                <w:numId w:val="14"/>
              </w:numPr>
              <w:kinsoku/>
              <w:wordWrap/>
              <w:overflowPunct/>
              <w:topLinePunct w:val="0"/>
              <w:autoSpaceDE/>
              <w:bidi w:val="0"/>
              <w:adjustRightInd/>
              <w:snapToGrid/>
              <w:spacing w:line="240" w:lineRule="auto"/>
              <w:ind w:left="0" w:leftChars="0"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门球活动场地，应提供休憩服务和安全防护措施</w:t>
            </w:r>
            <w:r>
              <w:rPr>
                <w:rFonts w:hint="eastAsia" w:ascii="仿宋" w:hAnsi="仿宋" w:eastAsia="仿宋" w:cs="仿宋"/>
                <w:color w:val="auto"/>
                <w:kern w:val="24"/>
                <w:sz w:val="24"/>
                <w:szCs w:val="24"/>
                <w:shd w:val="clear" w:color="auto" w:fill="auto"/>
                <w:lang w:eastAsia="zh-CN"/>
              </w:rPr>
              <w:t>；</w:t>
            </w:r>
          </w:p>
          <w:p>
            <w:pPr>
              <w:keepNext w:val="0"/>
              <w:keepLines w:val="0"/>
              <w:pageBreakBefore w:val="0"/>
              <w:widowControl w:val="0"/>
              <w:numPr>
                <w:ilvl w:val="0"/>
                <w:numId w:val="14"/>
              </w:numPr>
              <w:kinsoku/>
              <w:wordWrap/>
              <w:overflowPunct/>
              <w:topLinePunct w:val="0"/>
              <w:autoSpaceDE/>
              <w:bidi w:val="0"/>
              <w:adjustRightInd/>
              <w:snapToGrid/>
              <w:spacing w:line="240" w:lineRule="auto"/>
              <w:ind w:left="0" w:leftChars="0"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lang w:eastAsia="zh-CN"/>
              </w:rPr>
              <w:t>宜独立占地。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室外综合健身场地（含老年户外活动场地）</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eastAsia="zh-CN"/>
              </w:rPr>
              <w:t>健身场所，</w:t>
            </w:r>
            <w:r>
              <w:rPr>
                <w:rFonts w:hint="eastAsia" w:ascii="仿宋" w:hAnsi="仿宋" w:eastAsia="仿宋" w:cs="仿宋"/>
                <w:color w:val="auto"/>
                <w:kern w:val="24"/>
                <w:sz w:val="24"/>
                <w:szCs w:val="24"/>
                <w:shd w:val="clear" w:color="auto" w:fill="auto"/>
              </w:rPr>
              <w:t>含广场舞场地；</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150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rPr>
              <w:t>750</w:t>
            </w:r>
            <w:r>
              <w:rPr>
                <w:rFonts w:hint="eastAsia" w:ascii="仿宋" w:hAnsi="仿宋" w:eastAsia="仿宋" w:cs="仿宋"/>
                <w:color w:val="auto"/>
                <w:kern w:val="24"/>
                <w:sz w:val="24"/>
                <w:szCs w:val="24"/>
                <w:shd w:val="clear" w:color="auto" w:fill="auto"/>
                <w:lang w:val="zh-CN" w:eastAsia="zh-CN"/>
              </w:rPr>
              <w:t>m²</w:t>
            </w:r>
          </w:p>
        </w:tc>
        <w:tc>
          <w:tcPr>
            <w:tcW w:w="18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(1)服务半径不宜大于300m</w:t>
            </w:r>
            <w:r>
              <w:rPr>
                <w:rFonts w:hint="eastAsia" w:ascii="仿宋" w:hAnsi="仿宋" w:eastAsia="仿宋" w:cs="仿宋"/>
                <w:color w:val="auto"/>
                <w:kern w:val="24"/>
                <w:sz w:val="24"/>
                <w:szCs w:val="24"/>
                <w:shd w:val="clear" w:color="auto" w:fill="auto"/>
                <w:lang w:eastAsia="zh-CN"/>
              </w:rPr>
              <w:t>；</w:t>
            </w:r>
          </w:p>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(2)用地面积不宜小于150</w:t>
            </w:r>
            <w:r>
              <w:rPr>
                <w:rFonts w:hint="eastAsia" w:ascii="仿宋" w:hAnsi="仿宋" w:eastAsia="仿宋" w:cs="仿宋"/>
                <w:color w:val="auto"/>
                <w:sz w:val="24"/>
                <w:szCs w:val="24"/>
                <w:shd w:val="clear" w:color="auto" w:fill="auto"/>
              </w:rPr>
              <w:t>m</w:t>
            </w:r>
            <w:r>
              <w:rPr>
                <w:rFonts w:hint="eastAsia" w:ascii="仿宋" w:hAnsi="仿宋" w:eastAsia="仿宋" w:cs="仿宋"/>
                <w:color w:val="auto"/>
                <w:sz w:val="24"/>
                <w:szCs w:val="24"/>
                <w:shd w:val="clear" w:color="auto" w:fill="auto"/>
                <w:vertAlign w:val="superscript"/>
              </w:rPr>
              <w:t>2</w:t>
            </w:r>
            <w:r>
              <w:rPr>
                <w:rFonts w:hint="eastAsia" w:ascii="仿宋" w:hAnsi="仿宋" w:eastAsia="仿宋" w:cs="仿宋"/>
                <w:color w:val="auto"/>
                <w:sz w:val="24"/>
                <w:szCs w:val="24"/>
                <w:shd w:val="clear" w:color="auto" w:fill="auto"/>
                <w:vertAlign w:val="baseline"/>
                <w:lang w:eastAsia="zh-CN"/>
              </w:rPr>
              <w:t>；</w:t>
            </w:r>
          </w:p>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(3)老年人户外活动场地，应提供休憩服务，宜附近设置公共卫生间</w:t>
            </w:r>
            <w:r>
              <w:rPr>
                <w:rFonts w:hint="eastAsia" w:ascii="仿宋" w:hAnsi="仿宋" w:eastAsia="仿宋" w:cs="仿宋"/>
                <w:color w:val="auto"/>
                <w:kern w:val="24"/>
                <w:sz w:val="24"/>
                <w:szCs w:val="24"/>
                <w:shd w:val="clear" w:color="auto" w:fill="auto"/>
                <w:lang w:eastAsia="zh-CN"/>
              </w:rPr>
              <w:t>；</w:t>
            </w:r>
          </w:p>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(4)广场舞等活动场地应避免噪声扰民</w:t>
            </w:r>
            <w:r>
              <w:rPr>
                <w:rFonts w:hint="eastAsia" w:ascii="仿宋" w:hAnsi="仿宋" w:eastAsia="仿宋" w:cs="仿宋"/>
                <w:color w:val="auto"/>
                <w:kern w:val="24"/>
                <w:sz w:val="24"/>
                <w:szCs w:val="24"/>
                <w:shd w:val="clear" w:color="auto" w:fill="auto"/>
                <w:lang w:eastAsia="zh-CN"/>
              </w:rPr>
              <w:t>；</w:t>
            </w:r>
          </w:p>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5</w:t>
            </w:r>
            <w:r>
              <w:rPr>
                <w:rFonts w:hint="eastAsia" w:ascii="仿宋" w:hAnsi="仿宋" w:eastAsia="仿宋" w:cs="仿宋"/>
                <w:color w:val="auto"/>
                <w:kern w:val="0"/>
                <w:sz w:val="24"/>
                <w:szCs w:val="24"/>
                <w:shd w:val="clear" w:color="auto" w:fill="auto"/>
                <w:lang w:eastAsia="zh-CN"/>
              </w:rPr>
              <w:t>）宜独立占地。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rPr>
              <w:t>幼儿园</w:t>
            </w:r>
            <w:r>
              <w:rPr>
                <w:rFonts w:hint="eastAsia" w:ascii="仿宋" w:hAnsi="仿宋" w:eastAsia="仿宋" w:cs="仿宋"/>
                <w:color w:val="auto"/>
                <w:kern w:val="24"/>
                <w:sz w:val="24"/>
                <w:szCs w:val="24"/>
                <w:shd w:val="clear" w:color="auto" w:fill="auto"/>
                <w:lang w:val="en-US" w:eastAsia="zh-CN"/>
              </w:rPr>
              <w:t>*</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rPr>
              <w:t>保教</w:t>
            </w:r>
            <w:r>
              <w:rPr>
                <w:rFonts w:hint="eastAsia" w:ascii="仿宋" w:hAnsi="仿宋" w:eastAsia="仿宋" w:cs="仿宋"/>
                <w:color w:val="auto"/>
                <w:kern w:val="0"/>
                <w:sz w:val="24"/>
                <w:szCs w:val="24"/>
                <w:shd w:val="clear" w:color="auto" w:fill="auto"/>
                <w:lang w:val="en-US" w:eastAsia="zh-CN"/>
              </w:rPr>
              <w:t>3周岁-6周岁</w:t>
            </w:r>
            <w:r>
              <w:rPr>
                <w:rFonts w:hint="eastAsia" w:ascii="仿宋" w:hAnsi="仿宋" w:eastAsia="仿宋" w:cs="仿宋"/>
                <w:color w:val="auto"/>
                <w:kern w:val="0"/>
                <w:sz w:val="24"/>
                <w:szCs w:val="24"/>
                <w:shd w:val="clear" w:color="auto" w:fill="auto"/>
              </w:rPr>
              <w:t>学龄前儿童</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0"/>
                <w:sz w:val="24"/>
                <w:szCs w:val="24"/>
                <w:shd w:val="clear" w:color="auto" w:fill="auto"/>
                <w:lang w:val="en-US" w:eastAsia="zh-CN"/>
              </w:rPr>
              <w:t>3150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0"/>
                <w:sz w:val="24"/>
                <w:szCs w:val="24"/>
                <w:shd w:val="clear" w:color="auto" w:fill="auto"/>
                <w:lang w:val="en-US" w:eastAsia="zh-CN"/>
              </w:rPr>
              <w:t>4550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widowControl w:val="0"/>
              <w:numPr>
                <w:ilvl w:val="0"/>
                <w:numId w:val="0"/>
              </w:numPr>
              <w:kinsoku/>
              <w:wordWrap/>
              <w:overflowPunct/>
              <w:topLinePunct w:val="0"/>
              <w:autoSpaceDE/>
              <w:bidi w:val="0"/>
              <w:adjustRightInd/>
              <w:snapToGrid/>
              <w:spacing w:line="240" w:lineRule="auto"/>
              <w:ind w:leftChars="0"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0"/>
                <w:sz w:val="24"/>
                <w:szCs w:val="24"/>
                <w:shd w:val="clear" w:color="auto" w:fill="auto"/>
                <w:lang w:val="en-US" w:eastAsia="zh-CN"/>
              </w:rPr>
              <w:t>5240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0"/>
                <w:sz w:val="24"/>
                <w:szCs w:val="24"/>
                <w:shd w:val="clear" w:color="auto" w:fill="auto"/>
              </w:rPr>
              <w:t>75</w:t>
            </w:r>
            <w:r>
              <w:rPr>
                <w:rFonts w:hint="eastAsia" w:ascii="仿宋" w:hAnsi="仿宋" w:eastAsia="仿宋" w:cs="仿宋"/>
                <w:color w:val="auto"/>
                <w:kern w:val="0"/>
                <w:sz w:val="24"/>
                <w:szCs w:val="24"/>
                <w:shd w:val="clear" w:color="auto" w:fill="auto"/>
                <w:lang w:val="en-US" w:eastAsia="zh-CN"/>
              </w:rPr>
              <w:t>8</w:t>
            </w:r>
            <w:r>
              <w:rPr>
                <w:rFonts w:hint="eastAsia" w:ascii="仿宋" w:hAnsi="仿宋" w:eastAsia="仿宋" w:cs="仿宋"/>
                <w:color w:val="auto"/>
                <w:kern w:val="0"/>
                <w:sz w:val="24"/>
                <w:szCs w:val="24"/>
                <w:shd w:val="clear" w:color="auto" w:fill="auto"/>
              </w:rPr>
              <w:t>0</w:t>
            </w:r>
            <w:r>
              <w:rPr>
                <w:rFonts w:hint="eastAsia" w:ascii="仿宋" w:hAnsi="仿宋" w:eastAsia="仿宋" w:cs="仿宋"/>
                <w:color w:val="auto"/>
                <w:kern w:val="24"/>
                <w:sz w:val="24"/>
                <w:szCs w:val="24"/>
                <w:shd w:val="clear" w:color="auto" w:fill="auto"/>
                <w:lang w:val="zh-CN" w:eastAsia="zh-CN"/>
              </w:rPr>
              <w:t>m²</w:t>
            </w: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15"/>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lang w:eastAsia="zh-CN"/>
              </w:rPr>
              <w:t>应</w:t>
            </w:r>
            <w:r>
              <w:rPr>
                <w:rFonts w:hint="eastAsia" w:ascii="仿宋" w:hAnsi="仿宋" w:eastAsia="仿宋" w:cs="仿宋"/>
                <w:color w:val="auto"/>
                <w:kern w:val="0"/>
                <w:sz w:val="24"/>
                <w:szCs w:val="24"/>
                <w:shd w:val="clear" w:color="auto" w:fill="auto"/>
              </w:rPr>
              <w:t>设于阳光充足，接近公共绿地，便于家长接送的地段</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其生活用房应满足底层满窗</w:t>
            </w:r>
            <w:r>
              <w:rPr>
                <w:rFonts w:hint="eastAsia" w:ascii="仿宋" w:hAnsi="仿宋" w:eastAsia="仿宋" w:cs="仿宋"/>
                <w:color w:val="auto"/>
                <w:kern w:val="0"/>
                <w:sz w:val="24"/>
                <w:szCs w:val="24"/>
                <w:shd w:val="clear" w:color="auto" w:fill="auto"/>
                <w:lang w:eastAsia="zh-CN"/>
              </w:rPr>
              <w:t>日照</w:t>
            </w:r>
            <w:r>
              <w:rPr>
                <w:rFonts w:hint="eastAsia" w:ascii="仿宋" w:hAnsi="仿宋" w:eastAsia="仿宋" w:cs="仿宋"/>
                <w:color w:val="auto"/>
                <w:kern w:val="0"/>
                <w:sz w:val="24"/>
                <w:szCs w:val="24"/>
                <w:shd w:val="clear" w:color="auto" w:fill="auto"/>
              </w:rPr>
              <w:t>不小于3h的日照标准</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宜</w:t>
            </w:r>
            <w:r>
              <w:rPr>
                <w:rFonts w:hint="eastAsia" w:ascii="仿宋" w:hAnsi="仿宋" w:eastAsia="仿宋" w:cs="仿宋"/>
                <w:color w:val="auto"/>
                <w:kern w:val="0"/>
                <w:sz w:val="24"/>
                <w:szCs w:val="24"/>
                <w:shd w:val="clear" w:color="auto" w:fill="auto"/>
                <w:lang w:eastAsia="zh-CN"/>
              </w:rPr>
              <w:t>设置</w:t>
            </w:r>
            <w:r>
              <w:rPr>
                <w:rFonts w:hint="eastAsia" w:ascii="仿宋" w:hAnsi="仿宋" w:eastAsia="仿宋" w:cs="仿宋"/>
                <w:color w:val="auto"/>
                <w:kern w:val="0"/>
                <w:sz w:val="24"/>
                <w:szCs w:val="24"/>
                <w:shd w:val="clear" w:color="auto" w:fill="auto"/>
              </w:rPr>
              <w:t>于可挡</w:t>
            </w:r>
            <w:r>
              <w:rPr>
                <w:rFonts w:hint="eastAsia" w:ascii="仿宋" w:hAnsi="仿宋" w:eastAsia="仿宋" w:cs="仿宋"/>
                <w:color w:val="auto"/>
                <w:kern w:val="0"/>
                <w:sz w:val="24"/>
                <w:szCs w:val="24"/>
                <w:shd w:val="clear" w:color="auto" w:fill="auto"/>
                <w:lang w:eastAsia="zh-CN"/>
              </w:rPr>
              <w:t>冬季</w:t>
            </w:r>
            <w:r>
              <w:rPr>
                <w:rFonts w:hint="eastAsia" w:ascii="仿宋" w:hAnsi="仿宋" w:eastAsia="仿宋" w:cs="仿宋"/>
                <w:color w:val="auto"/>
                <w:kern w:val="0"/>
                <w:sz w:val="24"/>
                <w:szCs w:val="24"/>
                <w:shd w:val="clear" w:color="auto" w:fill="auto"/>
              </w:rPr>
              <w:t>寒风的建筑物的背风面</w:t>
            </w:r>
            <w:r>
              <w:rPr>
                <w:rFonts w:hint="eastAsia" w:ascii="仿宋" w:hAnsi="仿宋" w:eastAsia="仿宋" w:cs="仿宋"/>
                <w:color w:val="auto"/>
                <w:kern w:val="0"/>
                <w:sz w:val="24"/>
                <w:szCs w:val="24"/>
                <w:shd w:val="clear" w:color="auto" w:fill="auto"/>
                <w:lang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lang w:val="en-US" w:eastAsia="zh-CN"/>
              </w:rPr>
              <w:t>（2）</w:t>
            </w:r>
            <w:r>
              <w:rPr>
                <w:rFonts w:hint="eastAsia" w:ascii="仿宋" w:hAnsi="仿宋" w:eastAsia="仿宋" w:cs="仿宋"/>
                <w:color w:val="auto"/>
                <w:kern w:val="0"/>
                <w:sz w:val="24"/>
                <w:szCs w:val="24"/>
                <w:shd w:val="clear" w:color="auto" w:fill="auto"/>
              </w:rPr>
              <w:t>服务半径不宜大于</w:t>
            </w:r>
            <w:r>
              <w:rPr>
                <w:rFonts w:hint="eastAsia" w:ascii="仿宋" w:hAnsi="仿宋" w:eastAsia="仿宋" w:cs="仿宋"/>
                <w:color w:val="auto"/>
                <w:kern w:val="24"/>
                <w:sz w:val="24"/>
                <w:szCs w:val="24"/>
                <w:shd w:val="clear" w:color="auto" w:fill="auto"/>
              </w:rPr>
              <w:t>300m</w:t>
            </w:r>
            <w:r>
              <w:rPr>
                <w:rFonts w:hint="eastAsia" w:ascii="仿宋" w:hAnsi="仿宋" w:eastAsia="仿宋" w:cs="仿宋"/>
                <w:color w:val="auto"/>
                <w:kern w:val="0"/>
                <w:sz w:val="24"/>
                <w:szCs w:val="24"/>
                <w:shd w:val="clear" w:color="auto" w:fill="auto"/>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left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3</w:t>
            </w:r>
            <w:r>
              <w:rPr>
                <w:rFonts w:hint="eastAsia" w:ascii="仿宋" w:hAnsi="仿宋" w:eastAsia="仿宋" w:cs="仿宋"/>
                <w:color w:val="auto"/>
                <w:kern w:val="0"/>
                <w:sz w:val="24"/>
                <w:szCs w:val="24"/>
                <w:shd w:val="clear" w:color="auto" w:fill="auto"/>
                <w:lang w:eastAsia="zh-CN"/>
              </w:rPr>
              <w:t>）幼儿园规模应根据适龄儿童人口确定，办园规模不宜超过</w:t>
            </w:r>
            <w:r>
              <w:rPr>
                <w:rFonts w:hint="eastAsia" w:ascii="仿宋" w:hAnsi="仿宋" w:eastAsia="仿宋" w:cs="仿宋"/>
                <w:color w:val="auto"/>
                <w:kern w:val="0"/>
                <w:sz w:val="24"/>
                <w:szCs w:val="24"/>
                <w:shd w:val="clear" w:color="auto" w:fill="auto"/>
                <w:lang w:val="en-US" w:eastAsia="zh-CN"/>
              </w:rPr>
              <w:t>12班，每班作为数宜为20座-35座；建筑层数不宜超过3层；</w:t>
            </w:r>
          </w:p>
          <w:p>
            <w:pPr>
              <w:keepNext w:val="0"/>
              <w:keepLines w:val="0"/>
              <w:pageBreakBefore w:val="0"/>
              <w:widowControl w:val="0"/>
              <w:numPr>
                <w:ilvl w:val="0"/>
                <w:numId w:val="13"/>
              </w:numPr>
              <w:kinsoku/>
              <w:wordWrap/>
              <w:overflowPunct/>
              <w:topLinePunct w:val="0"/>
              <w:autoSpaceDE/>
              <w:bidi w:val="0"/>
              <w:adjustRightInd/>
              <w:snapToGrid/>
              <w:spacing w:line="240" w:lineRule="auto"/>
              <w:ind w:left="0" w:leftChars="0"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rPr>
              <w:t>活动场地应有不少于1/2的活动面积在标准的建筑日照阴影线之外</w:t>
            </w:r>
            <w:r>
              <w:rPr>
                <w:rFonts w:hint="eastAsia" w:ascii="仿宋" w:hAnsi="仿宋" w:eastAsia="仿宋" w:cs="仿宋"/>
                <w:color w:val="auto"/>
                <w:kern w:val="0"/>
                <w:sz w:val="24"/>
                <w:szCs w:val="24"/>
                <w:shd w:val="clear" w:color="auto" w:fill="auto"/>
                <w:lang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left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5</w:t>
            </w:r>
            <w:r>
              <w:rPr>
                <w:rFonts w:hint="eastAsia" w:ascii="仿宋" w:hAnsi="仿宋" w:eastAsia="仿宋" w:cs="仿宋"/>
                <w:color w:val="auto"/>
                <w:kern w:val="0"/>
                <w:sz w:val="24"/>
                <w:szCs w:val="24"/>
                <w:shd w:val="clear" w:color="auto" w:fill="auto"/>
                <w:lang w:eastAsia="zh-CN"/>
              </w:rPr>
              <w:t>）宜独立占地。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托儿所</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eastAsia="zh-CN"/>
              </w:rPr>
              <w:t>服务</w:t>
            </w:r>
            <w:r>
              <w:rPr>
                <w:rFonts w:hint="eastAsia" w:ascii="仿宋" w:hAnsi="仿宋" w:eastAsia="仿宋" w:cs="仿宋"/>
                <w:color w:val="auto"/>
                <w:kern w:val="0"/>
                <w:sz w:val="24"/>
                <w:szCs w:val="24"/>
                <w:shd w:val="clear" w:color="auto" w:fill="auto"/>
                <w:lang w:val="en-US" w:eastAsia="zh-CN"/>
              </w:rPr>
              <w:t>0周岁-3周岁的婴幼儿</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1</w:t>
            </w:r>
            <w:r>
              <w:rPr>
                <w:rFonts w:hint="eastAsia" w:ascii="仿宋" w:hAnsi="仿宋" w:eastAsia="仿宋" w:cs="仿宋"/>
                <w:color w:val="auto"/>
                <w:kern w:val="0"/>
                <w:sz w:val="24"/>
                <w:szCs w:val="24"/>
                <w:shd w:val="clear" w:color="auto" w:fill="auto"/>
                <w:lang w:eastAsia="zh-CN"/>
              </w:rPr>
              <w:t>）应</w:t>
            </w:r>
            <w:r>
              <w:rPr>
                <w:rFonts w:hint="eastAsia" w:ascii="仿宋" w:hAnsi="仿宋" w:eastAsia="仿宋" w:cs="仿宋"/>
                <w:color w:val="auto"/>
                <w:kern w:val="0"/>
                <w:sz w:val="24"/>
                <w:szCs w:val="24"/>
                <w:shd w:val="clear" w:color="auto" w:fill="auto"/>
              </w:rPr>
              <w:t>设于阳光充足，便于家长接送的地段</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其生活用房应满足底层满窗</w:t>
            </w:r>
            <w:r>
              <w:rPr>
                <w:rFonts w:hint="eastAsia" w:ascii="仿宋" w:hAnsi="仿宋" w:eastAsia="仿宋" w:cs="仿宋"/>
                <w:color w:val="auto"/>
                <w:kern w:val="0"/>
                <w:sz w:val="24"/>
                <w:szCs w:val="24"/>
                <w:shd w:val="clear" w:color="auto" w:fill="auto"/>
                <w:lang w:eastAsia="zh-CN"/>
              </w:rPr>
              <w:t>日照</w:t>
            </w:r>
            <w:r>
              <w:rPr>
                <w:rFonts w:hint="eastAsia" w:ascii="仿宋" w:hAnsi="仿宋" w:eastAsia="仿宋" w:cs="仿宋"/>
                <w:color w:val="auto"/>
                <w:kern w:val="0"/>
                <w:sz w:val="24"/>
                <w:szCs w:val="24"/>
                <w:shd w:val="clear" w:color="auto" w:fill="auto"/>
              </w:rPr>
              <w:t>不小于3h的日照标准</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宜</w:t>
            </w:r>
            <w:r>
              <w:rPr>
                <w:rFonts w:hint="eastAsia" w:ascii="仿宋" w:hAnsi="仿宋" w:eastAsia="仿宋" w:cs="仿宋"/>
                <w:color w:val="auto"/>
                <w:kern w:val="0"/>
                <w:sz w:val="24"/>
                <w:szCs w:val="24"/>
                <w:shd w:val="clear" w:color="auto" w:fill="auto"/>
                <w:lang w:eastAsia="zh-CN"/>
              </w:rPr>
              <w:t>设置</w:t>
            </w:r>
            <w:r>
              <w:rPr>
                <w:rFonts w:hint="eastAsia" w:ascii="仿宋" w:hAnsi="仿宋" w:eastAsia="仿宋" w:cs="仿宋"/>
                <w:color w:val="auto"/>
                <w:kern w:val="0"/>
                <w:sz w:val="24"/>
                <w:szCs w:val="24"/>
                <w:shd w:val="clear" w:color="auto" w:fill="auto"/>
              </w:rPr>
              <w:t>于可挡</w:t>
            </w:r>
            <w:r>
              <w:rPr>
                <w:rFonts w:hint="eastAsia" w:ascii="仿宋" w:hAnsi="仿宋" w:eastAsia="仿宋" w:cs="仿宋"/>
                <w:color w:val="auto"/>
                <w:kern w:val="0"/>
                <w:sz w:val="24"/>
                <w:szCs w:val="24"/>
                <w:shd w:val="clear" w:color="auto" w:fill="auto"/>
                <w:lang w:eastAsia="zh-CN"/>
              </w:rPr>
              <w:t>冬季</w:t>
            </w:r>
            <w:r>
              <w:rPr>
                <w:rFonts w:hint="eastAsia" w:ascii="仿宋" w:hAnsi="仿宋" w:eastAsia="仿宋" w:cs="仿宋"/>
                <w:color w:val="auto"/>
                <w:kern w:val="0"/>
                <w:sz w:val="24"/>
                <w:szCs w:val="24"/>
                <w:shd w:val="clear" w:color="auto" w:fill="auto"/>
              </w:rPr>
              <w:t>寒风的建筑物的背风面</w:t>
            </w:r>
            <w:r>
              <w:rPr>
                <w:rFonts w:hint="eastAsia" w:ascii="仿宋" w:hAnsi="仿宋" w:eastAsia="仿宋" w:cs="仿宋"/>
                <w:color w:val="auto"/>
                <w:kern w:val="0"/>
                <w:sz w:val="24"/>
                <w:szCs w:val="24"/>
                <w:shd w:val="clear" w:color="auto" w:fill="auto"/>
                <w:lang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0"/>
                <w:sz w:val="24"/>
                <w:szCs w:val="24"/>
                <w:shd w:val="clear" w:color="auto" w:fill="auto"/>
                <w:lang w:val="en-US" w:eastAsia="zh-CN"/>
              </w:rPr>
              <w:t>（2）</w:t>
            </w:r>
            <w:r>
              <w:rPr>
                <w:rFonts w:hint="eastAsia" w:ascii="仿宋" w:hAnsi="仿宋" w:eastAsia="仿宋" w:cs="仿宋"/>
                <w:color w:val="auto"/>
                <w:kern w:val="0"/>
                <w:sz w:val="24"/>
                <w:szCs w:val="24"/>
                <w:shd w:val="clear" w:color="auto" w:fill="auto"/>
              </w:rPr>
              <w:t>服务半径不宜大于300m；</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3</w:t>
            </w:r>
            <w:r>
              <w:rPr>
                <w:rFonts w:hint="eastAsia" w:ascii="仿宋" w:hAnsi="仿宋" w:eastAsia="仿宋" w:cs="仿宋"/>
                <w:color w:val="auto"/>
                <w:kern w:val="0"/>
                <w:sz w:val="24"/>
                <w:szCs w:val="24"/>
                <w:shd w:val="clear" w:color="auto" w:fill="auto"/>
                <w:lang w:eastAsia="zh-CN"/>
              </w:rPr>
              <w:t>）托儿所规模宜根据适龄儿童人口确定；</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val="en-US" w:eastAsia="zh-CN"/>
              </w:rPr>
              <w:t>（4）活动场地应有不少于1/2的活动面积在标准的建筑日照阴影线之外；</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val="en-US" w:eastAsia="zh-CN"/>
              </w:rPr>
              <w:t>（5）</w:t>
            </w:r>
            <w:r>
              <w:rPr>
                <w:rFonts w:hint="eastAsia" w:ascii="仿宋" w:hAnsi="仿宋" w:eastAsia="仿宋" w:cs="仿宋"/>
                <w:b w:val="0"/>
                <w:bCs w:val="0"/>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老年日间照料中心</w:t>
            </w:r>
            <w:r>
              <w:rPr>
                <w:rFonts w:hint="eastAsia" w:ascii="仿宋" w:hAnsi="仿宋" w:eastAsia="仿宋" w:cs="仿宋"/>
                <w:color w:val="auto"/>
                <w:kern w:val="24"/>
                <w:sz w:val="24"/>
                <w:szCs w:val="24"/>
                <w:shd w:val="clear" w:color="auto" w:fill="auto"/>
                <w:lang w:val="en-US" w:eastAsia="zh-CN"/>
              </w:rPr>
              <w:t>*</w:t>
            </w:r>
            <w:r>
              <w:rPr>
                <w:rFonts w:hint="eastAsia" w:ascii="仿宋" w:hAnsi="仿宋" w:eastAsia="仿宋" w:cs="仿宋"/>
                <w:color w:val="auto"/>
                <w:kern w:val="0"/>
                <w:sz w:val="24"/>
                <w:szCs w:val="24"/>
                <w:shd w:val="clear" w:color="auto" w:fill="auto"/>
                <w:lang w:eastAsia="zh-CN"/>
              </w:rPr>
              <w:t>（托老所）</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老年人日托服务，包括餐饮、文娱、健身、医疗保健等</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0"/>
                <w:sz w:val="24"/>
                <w:szCs w:val="24"/>
                <w:shd w:val="clear" w:color="auto" w:fill="auto"/>
                <w:lang w:val="en-US" w:eastAsia="zh-CN"/>
              </w:rPr>
              <w:t>350-750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b w:val="0"/>
                <w:bCs w:val="0"/>
                <w:color w:val="auto"/>
                <w:kern w:val="0"/>
                <w:sz w:val="24"/>
                <w:szCs w:val="24"/>
                <w:shd w:val="clear" w:color="auto" w:fill="auto"/>
                <w:lang w:eastAsia="zh-CN"/>
              </w:rPr>
            </w:pP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val="en-US" w:eastAsia="zh-CN"/>
              </w:rPr>
              <w:t>（1）服务半径不宜大于300m；</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b w:val="0"/>
                <w:bCs w:val="0"/>
                <w:color w:val="auto"/>
                <w:kern w:val="0"/>
                <w:sz w:val="24"/>
                <w:szCs w:val="24"/>
                <w:shd w:val="clear" w:color="auto" w:fill="auto"/>
                <w:lang w:eastAsia="zh-CN"/>
              </w:rPr>
              <w:t>（</w:t>
            </w:r>
            <w:r>
              <w:rPr>
                <w:rFonts w:hint="eastAsia" w:ascii="仿宋" w:hAnsi="仿宋" w:eastAsia="仿宋" w:cs="仿宋"/>
                <w:b w:val="0"/>
                <w:bCs w:val="0"/>
                <w:color w:val="auto"/>
                <w:kern w:val="0"/>
                <w:sz w:val="24"/>
                <w:szCs w:val="24"/>
                <w:shd w:val="clear" w:color="auto" w:fill="auto"/>
                <w:lang w:val="en-US" w:eastAsia="zh-CN"/>
              </w:rPr>
              <w:t>2</w:t>
            </w:r>
            <w:r>
              <w:rPr>
                <w:rFonts w:hint="eastAsia" w:ascii="仿宋" w:hAnsi="仿宋" w:eastAsia="仿宋" w:cs="仿宋"/>
                <w:b w:val="0"/>
                <w:bCs w:val="0"/>
                <w:color w:val="auto"/>
                <w:kern w:val="0"/>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378"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24"/>
                <w:sz w:val="24"/>
                <w:szCs w:val="24"/>
                <w:shd w:val="clear" w:color="auto" w:fill="auto"/>
              </w:rPr>
              <w:t>社区卫生服务站</w:t>
            </w:r>
            <w:r>
              <w:rPr>
                <w:rFonts w:hint="eastAsia" w:ascii="仿宋" w:hAnsi="仿宋" w:eastAsia="仿宋" w:cs="仿宋"/>
                <w:color w:val="auto"/>
                <w:kern w:val="24"/>
                <w:sz w:val="24"/>
                <w:szCs w:val="24"/>
                <w:shd w:val="clear" w:color="auto" w:fill="auto"/>
                <w:lang w:val="en-US" w:eastAsia="zh-CN"/>
              </w:rPr>
              <w:t>*</w:t>
            </w:r>
          </w:p>
        </w:tc>
        <w:tc>
          <w:tcPr>
            <w:tcW w:w="65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24"/>
                <w:sz w:val="24"/>
                <w:szCs w:val="24"/>
                <w:shd w:val="clear" w:color="auto" w:fill="auto"/>
              </w:rPr>
              <w:t>预防、医疗、计生等</w:t>
            </w:r>
          </w:p>
        </w:tc>
        <w:tc>
          <w:tcPr>
            <w:tcW w:w="606"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48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color w:val="auto"/>
                <w:kern w:val="24"/>
                <w:sz w:val="24"/>
                <w:szCs w:val="24"/>
                <w:shd w:val="clear" w:color="auto" w:fill="auto"/>
                <w:lang w:val="zh-CN" w:eastAsia="zh-CN"/>
              </w:rPr>
            </w:pPr>
            <w:r>
              <w:rPr>
                <w:rFonts w:hint="eastAsia" w:ascii="仿宋" w:hAnsi="仿宋" w:eastAsia="仿宋" w:cs="仿宋"/>
                <w:color w:val="auto"/>
                <w:kern w:val="24"/>
                <w:sz w:val="24"/>
                <w:szCs w:val="24"/>
                <w:shd w:val="clear" w:color="auto" w:fill="auto"/>
                <w:lang w:val="en-US" w:eastAsia="zh-CN"/>
              </w:rPr>
              <w:t>建筑面积</w:t>
            </w:r>
            <w:r>
              <w:rPr>
                <w:rFonts w:hint="eastAsia" w:ascii="仿宋" w:hAnsi="仿宋" w:eastAsia="仿宋" w:cs="仿宋"/>
                <w:color w:val="auto"/>
                <w:kern w:val="24"/>
                <w:sz w:val="24"/>
                <w:szCs w:val="24"/>
                <w:shd w:val="clear" w:color="auto" w:fill="auto"/>
              </w:rPr>
              <w:t>120</w:t>
            </w:r>
            <w:r>
              <w:rPr>
                <w:rFonts w:hint="eastAsia" w:ascii="仿宋" w:hAnsi="仿宋" w:eastAsia="仿宋" w:cs="仿宋"/>
                <w:color w:val="auto"/>
                <w:sz w:val="24"/>
                <w:szCs w:val="24"/>
                <w:shd w:val="clear" w:color="auto" w:fill="auto"/>
              </w:rPr>
              <w:t>～</w:t>
            </w:r>
            <w:r>
              <w:rPr>
                <w:rFonts w:hint="eastAsia" w:ascii="仿宋" w:hAnsi="仿宋" w:eastAsia="仿宋" w:cs="仿宋"/>
                <w:color w:val="auto"/>
                <w:kern w:val="24"/>
                <w:sz w:val="24"/>
                <w:szCs w:val="24"/>
                <w:shd w:val="clear" w:color="auto" w:fill="auto"/>
                <w:lang w:val="en-US" w:eastAsia="zh-CN"/>
              </w:rPr>
              <w:t>270</w:t>
            </w:r>
            <w:r>
              <w:rPr>
                <w:rFonts w:hint="eastAsia" w:ascii="仿宋" w:hAnsi="仿宋" w:eastAsia="仿宋" w:cs="仿宋"/>
                <w:color w:val="auto"/>
                <w:kern w:val="24"/>
                <w:sz w:val="24"/>
                <w:szCs w:val="24"/>
                <w:shd w:val="clear" w:color="auto" w:fill="auto"/>
                <w:lang w:val="zh-CN" w:eastAsia="zh-CN"/>
              </w:rPr>
              <w:t>m²</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p>
        </w:tc>
        <w:tc>
          <w:tcPr>
            <w:tcW w:w="1878" w:type="pct"/>
            <w:noWrap w:val="0"/>
            <w:tcMar>
              <w:top w:w="15" w:type="dxa"/>
              <w:left w:w="15" w:type="dxa"/>
              <w:bottom w:w="0" w:type="dxa"/>
              <w:right w:w="15" w:type="dxa"/>
            </w:tcMar>
            <w:vAlign w:val="center"/>
          </w:tcPr>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1</w:t>
            </w:r>
            <w:r>
              <w:rPr>
                <w:rFonts w:hint="eastAsia" w:ascii="仿宋" w:hAnsi="仿宋" w:eastAsia="仿宋" w:cs="仿宋"/>
                <w:color w:val="auto"/>
                <w:kern w:val="0"/>
                <w:sz w:val="24"/>
                <w:szCs w:val="24"/>
                <w:shd w:val="clear" w:color="auto" w:fill="auto"/>
                <w:lang w:eastAsia="zh-CN"/>
              </w:rPr>
              <w:t>）在人口较多、服务半径较大、社区卫生服务中心难以覆盖的社区，以设置社区卫生站加以补充；</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2</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服务半径不宜大于300m</w:t>
            </w:r>
            <w:r>
              <w:rPr>
                <w:rFonts w:hint="eastAsia" w:ascii="仿宋" w:hAnsi="仿宋" w:eastAsia="仿宋" w:cs="仿宋"/>
                <w:color w:val="auto"/>
                <w:kern w:val="0"/>
                <w:sz w:val="24"/>
                <w:szCs w:val="24"/>
                <w:shd w:val="clear" w:color="auto" w:fill="auto"/>
                <w:lang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val="en-US"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3</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最小建筑面积不得低于120m</w:t>
            </w:r>
            <w:r>
              <w:rPr>
                <w:rFonts w:hint="eastAsia" w:ascii="仿宋" w:hAnsi="仿宋" w:eastAsia="仿宋" w:cs="仿宋"/>
                <w:color w:val="auto"/>
                <w:kern w:val="0"/>
                <w:sz w:val="24"/>
                <w:szCs w:val="24"/>
                <w:shd w:val="clear" w:color="auto" w:fill="auto"/>
                <w:vertAlign w:val="superscript"/>
              </w:rPr>
              <w:t>2</w:t>
            </w:r>
            <w:r>
              <w:rPr>
                <w:rFonts w:hint="eastAsia" w:ascii="仿宋" w:hAnsi="仿宋" w:eastAsia="仿宋" w:cs="仿宋"/>
                <w:color w:val="auto"/>
                <w:kern w:val="0"/>
                <w:sz w:val="24"/>
                <w:szCs w:val="24"/>
                <w:shd w:val="clear" w:color="auto" w:fill="auto"/>
                <w:vertAlign w:val="baseline"/>
                <w:lang w:val="en-US"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4</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rPr>
              <w:t>社区卫生服务站应安排在建筑首层，设独立出入口</w:t>
            </w:r>
            <w:r>
              <w:rPr>
                <w:rFonts w:hint="eastAsia" w:ascii="仿宋" w:hAnsi="仿宋" w:eastAsia="仿宋" w:cs="仿宋"/>
                <w:color w:val="auto"/>
                <w:kern w:val="0"/>
                <w:sz w:val="24"/>
                <w:szCs w:val="24"/>
                <w:shd w:val="clear" w:color="auto" w:fill="auto"/>
                <w:lang w:eastAsia="zh-CN"/>
              </w:rPr>
              <w:t>；</w:t>
            </w:r>
          </w:p>
          <w:p>
            <w:pPr>
              <w:keepNext w:val="0"/>
              <w:keepLines w:val="0"/>
              <w:pageBreakBefore w:val="0"/>
              <w:widowControl w:val="0"/>
              <w:numPr>
                <w:ilvl w:val="0"/>
                <w:numId w:val="0"/>
              </w:numPr>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0"/>
                <w:sz w:val="24"/>
                <w:szCs w:val="24"/>
                <w:shd w:val="clear" w:color="auto" w:fill="auto"/>
                <w:lang w:eastAsia="zh-CN"/>
              </w:rPr>
            </w:pP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color w:val="auto"/>
                <w:kern w:val="0"/>
                <w:sz w:val="24"/>
                <w:szCs w:val="24"/>
                <w:shd w:val="clear" w:color="auto" w:fill="auto"/>
                <w:lang w:val="en-US" w:eastAsia="zh-CN"/>
              </w:rPr>
              <w:t>5</w:t>
            </w:r>
            <w:r>
              <w:rPr>
                <w:rFonts w:hint="eastAsia" w:ascii="仿宋" w:hAnsi="仿宋" w:eastAsia="仿宋" w:cs="仿宋"/>
                <w:color w:val="auto"/>
                <w:kern w:val="0"/>
                <w:sz w:val="24"/>
                <w:szCs w:val="24"/>
                <w:shd w:val="clear" w:color="auto" w:fill="auto"/>
                <w:lang w:eastAsia="zh-CN"/>
              </w:rPr>
              <w:t>）</w:t>
            </w:r>
            <w:r>
              <w:rPr>
                <w:rFonts w:hint="eastAsia" w:ascii="仿宋" w:hAnsi="仿宋" w:eastAsia="仿宋" w:cs="仿宋"/>
                <w:b w:val="0"/>
                <w:bCs w:val="0"/>
                <w:color w:val="auto"/>
                <w:kern w:val="0"/>
                <w:sz w:val="24"/>
                <w:szCs w:val="24"/>
                <w:shd w:val="clear" w:color="auto" w:fill="auto"/>
                <w:lang w:eastAsia="zh-CN"/>
              </w:rPr>
              <w:t>可联合建设。</w:t>
            </w:r>
          </w:p>
        </w:tc>
      </w:tr>
    </w:tbl>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lang w:eastAsia="zh-CN"/>
        </w:rPr>
      </w:pPr>
      <w:r>
        <w:rPr>
          <w:rFonts w:hint="eastAsia" w:ascii="仿宋" w:hAnsi="仿宋" w:eastAsia="仿宋" w:cs="仿宋"/>
          <w:color w:val="auto"/>
          <w:kern w:val="0"/>
          <w:sz w:val="21"/>
          <w:szCs w:val="21"/>
          <w:shd w:val="clear" w:color="auto" w:fill="auto"/>
        </w:rPr>
        <w:t>注: 1</w:t>
      </w:r>
      <w:r>
        <w:rPr>
          <w:rFonts w:hint="eastAsia" w:ascii="仿宋" w:hAnsi="仿宋" w:eastAsia="仿宋" w:cs="仿宋"/>
          <w:color w:val="auto"/>
          <w:kern w:val="0"/>
          <w:sz w:val="21"/>
          <w:szCs w:val="21"/>
          <w:shd w:val="clear" w:color="auto" w:fill="auto"/>
          <w:lang w:val="en-US" w:eastAsia="zh-CN"/>
        </w:rPr>
        <w:t>.</w:t>
      </w:r>
      <w:r>
        <w:rPr>
          <w:rFonts w:hint="eastAsia" w:ascii="仿宋" w:hAnsi="仿宋" w:eastAsia="仿宋" w:cs="仿宋"/>
          <w:color w:val="auto"/>
          <w:kern w:val="0"/>
          <w:sz w:val="21"/>
          <w:szCs w:val="21"/>
          <w:shd w:val="clear" w:color="auto" w:fill="auto"/>
        </w:rPr>
        <w:t>加* 的配套设施，其建筑面积与用地面积规模应满足国家相关规划及标准规范的有关规定</w:t>
      </w:r>
      <w:r>
        <w:rPr>
          <w:rFonts w:hint="eastAsia" w:ascii="仿宋" w:hAnsi="仿宋" w:eastAsia="仿宋" w:cs="仿宋"/>
          <w:color w:val="auto"/>
          <w:kern w:val="0"/>
          <w:sz w:val="21"/>
          <w:szCs w:val="21"/>
          <w:shd w:val="clear" w:color="auto" w:fill="auto"/>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lang w:eastAsia="zh-CN"/>
        </w:rPr>
      </w:pPr>
      <w:r>
        <w:rPr>
          <w:rFonts w:hint="eastAsia" w:ascii="仿宋" w:hAnsi="仿宋" w:eastAsia="仿宋" w:cs="仿宋"/>
          <w:color w:val="auto"/>
          <w:kern w:val="0"/>
          <w:sz w:val="21"/>
          <w:szCs w:val="21"/>
          <w:shd w:val="clear" w:color="auto" w:fill="auto"/>
          <w:lang w:val="en-US" w:eastAsia="zh-CN"/>
        </w:rPr>
        <w:t>2.</w:t>
      </w:r>
      <w:r>
        <w:rPr>
          <w:rFonts w:hint="eastAsia" w:ascii="仿宋" w:hAnsi="仿宋" w:eastAsia="仿宋" w:cs="仿宋"/>
          <w:color w:val="auto"/>
          <w:kern w:val="0"/>
          <w:sz w:val="21"/>
          <w:szCs w:val="21"/>
          <w:shd w:val="clear" w:color="auto" w:fill="auto"/>
        </w:rPr>
        <w:t>承担应急避难功能的配套设施，应满足国家有关应急避难场所的规定</w:t>
      </w:r>
      <w:r>
        <w:rPr>
          <w:rFonts w:hint="eastAsia" w:ascii="仿宋" w:hAnsi="仿宋" w:eastAsia="仿宋" w:cs="仿宋"/>
          <w:color w:val="auto"/>
          <w:kern w:val="0"/>
          <w:sz w:val="21"/>
          <w:szCs w:val="21"/>
          <w:shd w:val="clear" w:color="auto" w:fill="auto"/>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kern w:val="0"/>
          <w:sz w:val="21"/>
          <w:szCs w:val="21"/>
          <w:shd w:val="clear" w:color="auto" w:fill="auto"/>
        </w:rPr>
      </w:pPr>
      <w:r>
        <w:rPr>
          <w:rFonts w:hint="eastAsia" w:ascii="仿宋" w:hAnsi="仿宋" w:eastAsia="仿宋" w:cs="仿宋"/>
          <w:color w:val="auto"/>
          <w:kern w:val="0"/>
          <w:sz w:val="21"/>
          <w:szCs w:val="21"/>
          <w:shd w:val="clear" w:color="auto" w:fill="auto"/>
          <w:lang w:val="en-US" w:eastAsia="zh-CN"/>
        </w:rPr>
        <w:t>3.</w:t>
      </w:r>
      <w:r>
        <w:rPr>
          <w:rFonts w:hint="eastAsia" w:ascii="仿宋" w:hAnsi="仿宋" w:eastAsia="仿宋" w:cs="仿宋"/>
          <w:color w:val="auto"/>
          <w:kern w:val="0"/>
          <w:sz w:val="21"/>
          <w:szCs w:val="21"/>
          <w:shd w:val="clear" w:color="auto" w:fill="auto"/>
        </w:rPr>
        <w:t>▲为应配建的项目；△为宜设置的项目。</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居住街坊配套设施规划设置规定和建设控制要求，并符合表4.6的规定。</w:t>
      </w:r>
    </w:p>
    <w:p>
      <w:pPr>
        <w:keepNext w:val="0"/>
        <w:keepLines w:val="0"/>
        <w:pageBreakBefore w:val="0"/>
        <w:kinsoku/>
        <w:wordWrap/>
        <w:overflowPunct/>
        <w:topLinePunct w:val="0"/>
        <w:autoSpaceDE/>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表4.6  居住街坊配套设施规划建设控制要求</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8"/>
        <w:gridCol w:w="774"/>
        <w:gridCol w:w="1492"/>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66"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设施</w:t>
            </w:r>
          </w:p>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名称</w:t>
            </w:r>
          </w:p>
        </w:tc>
        <w:tc>
          <w:tcPr>
            <w:tcW w:w="424"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kern w:val="24"/>
                <w:sz w:val="24"/>
                <w:szCs w:val="24"/>
                <w:shd w:val="clear" w:color="auto" w:fill="auto"/>
              </w:rPr>
              <w:t>服务内容</w:t>
            </w:r>
          </w:p>
        </w:tc>
        <w:tc>
          <w:tcPr>
            <w:tcW w:w="817"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left"/>
              <w:textAlignment w:val="auto"/>
              <w:rPr>
                <w:rFonts w:hint="eastAsia" w:ascii="仿宋" w:hAnsi="仿宋" w:eastAsia="仿宋" w:cs="仿宋"/>
                <w:b/>
                <w:bCs/>
                <w:color w:val="auto"/>
                <w:kern w:val="24"/>
                <w:sz w:val="24"/>
                <w:szCs w:val="24"/>
                <w:shd w:val="clear" w:color="auto" w:fill="auto"/>
                <w:lang w:eastAsia="zh-CN"/>
              </w:rPr>
            </w:pPr>
            <w:r>
              <w:rPr>
                <w:rFonts w:hint="eastAsia" w:ascii="仿宋" w:hAnsi="仿宋" w:eastAsia="仿宋" w:cs="仿宋"/>
                <w:b/>
                <w:bCs/>
                <w:color w:val="auto"/>
                <w:kern w:val="24"/>
                <w:sz w:val="24"/>
                <w:szCs w:val="24"/>
                <w:shd w:val="clear" w:color="auto" w:fill="auto"/>
                <w:lang w:eastAsia="zh-CN"/>
              </w:rPr>
              <w:t>配置的必要性</w:t>
            </w:r>
          </w:p>
        </w:tc>
        <w:tc>
          <w:tcPr>
            <w:tcW w:w="1695"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lang w:eastAsia="zh-CN"/>
              </w:rPr>
            </w:pPr>
            <w:r>
              <w:rPr>
                <w:rFonts w:hint="eastAsia" w:ascii="仿宋" w:hAnsi="仿宋" w:eastAsia="仿宋" w:cs="仿宋"/>
                <w:b/>
                <w:bCs/>
                <w:color w:val="auto"/>
                <w:kern w:val="24"/>
                <w:sz w:val="24"/>
                <w:szCs w:val="24"/>
                <w:shd w:val="clear" w:color="auto" w:fill="auto"/>
                <w:lang w:eastAsia="zh-CN"/>
              </w:rPr>
              <w:t>配置要求</w:t>
            </w:r>
          </w:p>
        </w:tc>
        <w:tc>
          <w:tcPr>
            <w:tcW w:w="1695" w:type="pct"/>
            <w:vMerge w:val="restar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b/>
                <w:bCs/>
                <w:color w:val="auto"/>
                <w:kern w:val="24"/>
                <w:sz w:val="24"/>
                <w:szCs w:val="24"/>
                <w:shd w:val="clear" w:color="auto" w:fill="auto"/>
              </w:rPr>
            </w:pPr>
            <w:r>
              <w:rPr>
                <w:rFonts w:hint="eastAsia" w:ascii="仿宋" w:hAnsi="仿宋" w:eastAsia="仿宋" w:cs="仿宋"/>
                <w:b/>
                <w:bCs/>
                <w:color w:val="auto"/>
                <w:kern w:val="24"/>
                <w:sz w:val="24"/>
                <w:szCs w:val="24"/>
                <w:shd w:val="clear" w:color="auto" w:fill="auto"/>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66"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p>
        </w:tc>
        <w:tc>
          <w:tcPr>
            <w:tcW w:w="424"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817"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695"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695" w:type="pct"/>
            <w:vMerge w:val="continue"/>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366"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lang w:val="en-US" w:eastAsia="zh-CN"/>
              </w:rPr>
            </w:pPr>
            <w:r>
              <w:rPr>
                <w:rFonts w:hint="eastAsia" w:ascii="仿宋" w:hAnsi="仿宋" w:eastAsia="仿宋" w:cs="仿宋"/>
                <w:color w:val="auto"/>
                <w:kern w:val="0"/>
                <w:sz w:val="24"/>
                <w:szCs w:val="24"/>
                <w:shd w:val="clear" w:color="auto" w:fill="auto"/>
              </w:rPr>
              <w:t>物业管理</w:t>
            </w:r>
            <w:r>
              <w:rPr>
                <w:rFonts w:hint="eastAsia" w:ascii="仿宋" w:hAnsi="仿宋" w:eastAsia="仿宋" w:cs="仿宋"/>
                <w:color w:val="auto"/>
                <w:kern w:val="0"/>
                <w:sz w:val="24"/>
                <w:szCs w:val="24"/>
                <w:shd w:val="clear" w:color="auto" w:fill="auto"/>
                <w:lang w:eastAsia="zh-CN"/>
              </w:rPr>
              <w:t>与服务</w:t>
            </w:r>
          </w:p>
        </w:tc>
        <w:tc>
          <w:tcPr>
            <w:tcW w:w="424"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物业</w:t>
            </w:r>
            <w:r>
              <w:rPr>
                <w:rFonts w:hint="eastAsia" w:ascii="仿宋" w:hAnsi="仿宋" w:eastAsia="仿宋" w:cs="仿宋"/>
                <w:color w:val="auto"/>
                <w:sz w:val="24"/>
                <w:szCs w:val="24"/>
                <w:shd w:val="clear" w:color="auto" w:fill="auto"/>
                <w:lang w:eastAsia="zh-CN"/>
              </w:rPr>
              <w:t>管理</w:t>
            </w:r>
            <w:r>
              <w:rPr>
                <w:rFonts w:hint="eastAsia" w:ascii="仿宋" w:hAnsi="仿宋" w:eastAsia="仿宋" w:cs="仿宋"/>
                <w:color w:val="auto"/>
                <w:sz w:val="24"/>
                <w:szCs w:val="24"/>
                <w:shd w:val="clear" w:color="auto" w:fill="auto"/>
              </w:rPr>
              <w:t>服务</w:t>
            </w:r>
          </w:p>
        </w:tc>
        <w:tc>
          <w:tcPr>
            <w:tcW w:w="817"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695"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p>
        </w:tc>
        <w:tc>
          <w:tcPr>
            <w:tcW w:w="1695"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lang w:val="en-US" w:eastAsia="zh-CN"/>
              </w:rPr>
              <w:t>1</w:t>
            </w: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rPr>
              <w:t>宜按照不低于物业总建筑面积的2‰配置物业管理用房</w:t>
            </w:r>
            <w:r>
              <w:rPr>
                <w:rFonts w:hint="eastAsia" w:ascii="仿宋" w:hAnsi="仿宋" w:eastAsia="仿宋" w:cs="仿宋"/>
                <w:color w:val="auto"/>
                <w:sz w:val="24"/>
                <w:szCs w:val="24"/>
                <w:shd w:val="clear" w:color="auto" w:fill="auto"/>
                <w:lang w:eastAsia="zh-CN"/>
              </w:rPr>
              <w:t>；</w:t>
            </w:r>
          </w:p>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w:t>
            </w:r>
            <w:r>
              <w:rPr>
                <w:rFonts w:hint="eastAsia" w:ascii="仿宋" w:hAnsi="仿宋" w:eastAsia="仿宋" w:cs="仿宋"/>
                <w:color w:val="auto"/>
                <w:sz w:val="24"/>
                <w:szCs w:val="24"/>
                <w:shd w:val="clear" w:color="auto" w:fill="auto"/>
                <w:lang w:val="en-US" w:eastAsia="zh-CN"/>
              </w:rPr>
              <w:t>2</w:t>
            </w:r>
            <w:r>
              <w:rPr>
                <w:rFonts w:hint="eastAsia" w:ascii="仿宋" w:hAnsi="仿宋" w:eastAsia="仿宋" w:cs="仿宋"/>
                <w:color w:val="auto"/>
                <w:sz w:val="24"/>
                <w:szCs w:val="24"/>
                <w:shd w:val="clear" w:color="auto" w:fill="auto"/>
                <w:lang w:eastAsia="zh-CN"/>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36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儿童、老年人活动场地</w:t>
            </w:r>
          </w:p>
        </w:tc>
        <w:tc>
          <w:tcPr>
            <w:tcW w:w="424"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儿童活动场地、老年人休憩场地</w:t>
            </w:r>
          </w:p>
        </w:tc>
        <w:tc>
          <w:tcPr>
            <w:tcW w:w="817"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695" w:type="pct"/>
            <w:noWrap w:val="0"/>
            <w:tcMar>
              <w:top w:w="15" w:type="dxa"/>
              <w:left w:w="15" w:type="dxa"/>
              <w:bottom w:w="0" w:type="dxa"/>
              <w:right w:w="15"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lang w:val="en-US" w:eastAsia="zh-CN"/>
              </w:rPr>
              <w:t>用地面积</w:t>
            </w:r>
            <w:r>
              <w:rPr>
                <w:rFonts w:hint="eastAsia" w:ascii="仿宋" w:hAnsi="仿宋" w:eastAsia="仿宋" w:cs="仿宋"/>
                <w:color w:val="auto"/>
                <w:kern w:val="24"/>
                <w:sz w:val="24"/>
                <w:szCs w:val="24"/>
                <w:shd w:val="clear" w:color="auto" w:fill="auto"/>
              </w:rPr>
              <w:t>170～450</w:t>
            </w:r>
            <w:r>
              <w:rPr>
                <w:rFonts w:hint="eastAsia" w:ascii="仿宋" w:hAnsi="仿宋" w:eastAsia="仿宋" w:cs="仿宋"/>
                <w:color w:val="auto"/>
                <w:kern w:val="24"/>
                <w:sz w:val="24"/>
                <w:szCs w:val="24"/>
                <w:shd w:val="clear" w:color="auto" w:fill="auto"/>
                <w:lang w:val="zh-CN" w:eastAsia="zh-CN"/>
              </w:rPr>
              <w:t>m²</w:t>
            </w:r>
          </w:p>
        </w:tc>
        <w:tc>
          <w:tcPr>
            <w:tcW w:w="1695" w:type="pct"/>
            <w:noWrap w:val="0"/>
            <w:tcMar>
              <w:top w:w="15" w:type="dxa"/>
              <w:left w:w="15" w:type="dxa"/>
              <w:bottom w:w="0" w:type="dxa"/>
              <w:right w:w="15" w:type="dxa"/>
            </w:tcMar>
            <w:vAlign w:val="center"/>
          </w:tcPr>
          <w:p>
            <w:pPr>
              <w:keepNext w:val="0"/>
              <w:keepLines w:val="0"/>
              <w:pageBreakBefore w:val="0"/>
              <w:numPr>
                <w:ilvl w:val="0"/>
                <w:numId w:val="16"/>
              </w:numPr>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宜结合</w:t>
            </w:r>
            <w:r>
              <w:rPr>
                <w:rFonts w:hint="eastAsia" w:ascii="仿宋" w:hAnsi="仿宋" w:eastAsia="仿宋" w:cs="仿宋"/>
                <w:color w:val="auto"/>
                <w:kern w:val="24"/>
                <w:sz w:val="24"/>
                <w:szCs w:val="24"/>
                <w:shd w:val="clear" w:color="auto" w:fill="auto"/>
                <w:lang w:eastAsia="zh-CN"/>
              </w:rPr>
              <w:t>集中</w:t>
            </w:r>
            <w:r>
              <w:rPr>
                <w:rFonts w:hint="eastAsia" w:ascii="仿宋" w:hAnsi="仿宋" w:eastAsia="仿宋" w:cs="仿宋"/>
                <w:color w:val="auto"/>
                <w:kern w:val="24"/>
                <w:sz w:val="24"/>
                <w:szCs w:val="24"/>
                <w:shd w:val="clear" w:color="auto" w:fill="auto"/>
              </w:rPr>
              <w:t>绿地</w:t>
            </w:r>
            <w:r>
              <w:rPr>
                <w:rFonts w:hint="eastAsia" w:ascii="仿宋" w:hAnsi="仿宋" w:eastAsia="仿宋" w:cs="仿宋"/>
                <w:color w:val="auto"/>
                <w:kern w:val="24"/>
                <w:sz w:val="24"/>
                <w:szCs w:val="24"/>
                <w:shd w:val="clear" w:color="auto" w:fill="auto"/>
                <w:lang w:eastAsia="zh-CN"/>
              </w:rPr>
              <w:t>设置，并宜设置休憩设施；</w:t>
            </w:r>
          </w:p>
          <w:p>
            <w:pPr>
              <w:keepNext w:val="0"/>
              <w:keepLines w:val="0"/>
              <w:pageBreakBefore w:val="0"/>
              <w:numPr>
                <w:ilvl w:val="0"/>
                <w:numId w:val="16"/>
              </w:numPr>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24"/>
                <w:sz w:val="24"/>
                <w:szCs w:val="24"/>
                <w:shd w:val="clear" w:color="auto" w:fill="auto"/>
              </w:rPr>
              <w:t>用地面积不应小于170</w:t>
            </w:r>
            <w:r>
              <w:rPr>
                <w:rFonts w:hint="eastAsia" w:ascii="仿宋" w:hAnsi="仿宋" w:eastAsia="仿宋" w:cs="仿宋"/>
                <w:color w:val="auto"/>
                <w:sz w:val="24"/>
                <w:szCs w:val="24"/>
                <w:shd w:val="clear" w:color="auto" w:fill="auto"/>
              </w:rPr>
              <w:t xml:space="preserve"> m</w:t>
            </w:r>
            <w:r>
              <w:rPr>
                <w:rFonts w:hint="eastAsia" w:ascii="仿宋" w:hAnsi="仿宋" w:eastAsia="仿宋" w:cs="仿宋"/>
                <w:color w:val="auto"/>
                <w:sz w:val="24"/>
                <w:szCs w:val="24"/>
                <w:shd w:val="clear" w:color="auto" w:fill="auto"/>
                <w:vertAlign w:val="superscript"/>
              </w:rPr>
              <w:t>2</w:t>
            </w:r>
            <w:r>
              <w:rPr>
                <w:rFonts w:hint="eastAsia" w:ascii="仿宋" w:hAnsi="仿宋" w:eastAsia="仿宋" w:cs="仿宋"/>
                <w:color w:val="auto"/>
                <w:kern w:val="24"/>
                <w:sz w:val="24"/>
                <w:szCs w:val="24"/>
                <w:shd w:val="clear" w:color="auto" w:fill="auto"/>
              </w:rPr>
              <w:t>；</w:t>
            </w:r>
          </w:p>
          <w:p>
            <w:pPr>
              <w:keepNext w:val="0"/>
              <w:keepLines w:val="0"/>
              <w:pageBreakBefore w:val="0"/>
              <w:numPr>
                <w:ilvl w:val="0"/>
                <w:numId w:val="16"/>
              </w:numPr>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r>
              <w:rPr>
                <w:rFonts w:hint="eastAsia" w:ascii="仿宋" w:hAnsi="仿宋" w:eastAsia="仿宋" w:cs="仿宋"/>
                <w:color w:val="auto"/>
                <w:kern w:val="0"/>
                <w:sz w:val="24"/>
                <w:szCs w:val="24"/>
                <w:shd w:val="clear" w:color="auto" w:fill="auto"/>
                <w:lang w:eastAsia="zh-CN"/>
              </w:rPr>
              <w:t>宜单独占地。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366"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rPr>
            </w:pPr>
            <w:r>
              <w:rPr>
                <w:rFonts w:hint="eastAsia" w:ascii="仿宋" w:hAnsi="仿宋" w:eastAsia="仿宋" w:cs="仿宋"/>
                <w:color w:val="auto"/>
                <w:kern w:val="24"/>
                <w:sz w:val="24"/>
                <w:szCs w:val="24"/>
                <w:shd w:val="clear" w:color="auto" w:fill="auto"/>
              </w:rPr>
              <w:t>室外健身器械</w:t>
            </w:r>
          </w:p>
        </w:tc>
        <w:tc>
          <w:tcPr>
            <w:tcW w:w="424"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kern w:val="24"/>
                <w:sz w:val="24"/>
                <w:szCs w:val="24"/>
                <w:shd w:val="clear" w:color="auto" w:fill="auto"/>
              </w:rPr>
              <w:t>器械健身和其它简单运动设施等</w:t>
            </w:r>
          </w:p>
        </w:tc>
        <w:tc>
          <w:tcPr>
            <w:tcW w:w="817" w:type="pct"/>
            <w:noWrap w:val="0"/>
            <w:tcMar>
              <w:top w:w="15" w:type="dxa"/>
              <w:left w:w="15" w:type="dxa"/>
              <w:bottom w:w="0" w:type="dxa"/>
              <w:right w:w="15"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auto"/>
              <w:rPr>
                <w:rFonts w:hint="eastAsia" w:ascii="仿宋" w:hAnsi="仿宋" w:eastAsia="仿宋" w:cs="仿宋"/>
                <w:color w:val="auto"/>
                <w:kern w:val="0"/>
                <w:sz w:val="24"/>
                <w:szCs w:val="24"/>
                <w:shd w:val="clear" w:color="auto" w:fill="auto"/>
                <w:lang w:val="en-US" w:eastAsia="zh-CN" w:bidi="ar-SA"/>
              </w:rPr>
            </w:pPr>
            <w:r>
              <w:rPr>
                <w:rFonts w:hint="eastAsia" w:ascii="仿宋" w:hAnsi="仿宋" w:eastAsia="仿宋" w:cs="仿宋"/>
                <w:color w:val="auto"/>
                <w:kern w:val="0"/>
                <w:sz w:val="24"/>
                <w:szCs w:val="24"/>
                <w:shd w:val="clear" w:color="auto" w:fill="auto"/>
              </w:rPr>
              <w:t>▲</w:t>
            </w:r>
          </w:p>
        </w:tc>
        <w:tc>
          <w:tcPr>
            <w:tcW w:w="1695"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rPr>
            </w:pPr>
          </w:p>
        </w:tc>
        <w:tc>
          <w:tcPr>
            <w:tcW w:w="1695" w:type="pct"/>
            <w:noWrap w:val="0"/>
            <w:tcMar>
              <w:top w:w="15" w:type="dxa"/>
              <w:left w:w="15" w:type="dxa"/>
              <w:bottom w:w="0" w:type="dxa"/>
              <w:right w:w="15"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kern w:val="24"/>
                <w:sz w:val="24"/>
                <w:szCs w:val="24"/>
                <w:shd w:val="clear" w:color="auto" w:fill="auto"/>
                <w:lang w:eastAsia="zh-CN"/>
              </w:rPr>
            </w:pPr>
            <w:r>
              <w:rPr>
                <w:rFonts w:hint="eastAsia" w:ascii="仿宋" w:hAnsi="仿宋" w:eastAsia="仿宋" w:cs="仿宋"/>
                <w:color w:val="auto"/>
                <w:kern w:val="24"/>
                <w:sz w:val="24"/>
                <w:szCs w:val="24"/>
                <w:shd w:val="clear" w:color="auto" w:fill="auto"/>
              </w:rPr>
              <w:t>(1)</w:t>
            </w:r>
            <w:r>
              <w:rPr>
                <w:rFonts w:hint="eastAsia" w:ascii="仿宋" w:hAnsi="仿宋" w:eastAsia="仿宋" w:cs="仿宋"/>
                <w:color w:val="auto"/>
                <w:kern w:val="0"/>
                <w:sz w:val="24"/>
                <w:szCs w:val="24"/>
                <w:shd w:val="clear" w:color="auto" w:fill="auto"/>
                <w:lang w:eastAsia="zh-CN"/>
              </w:rPr>
              <w:t>可联合设置，</w:t>
            </w:r>
            <w:r>
              <w:rPr>
                <w:rFonts w:hint="eastAsia" w:ascii="仿宋" w:hAnsi="仿宋" w:eastAsia="仿宋" w:cs="仿宋"/>
                <w:color w:val="auto"/>
                <w:kern w:val="24"/>
                <w:sz w:val="24"/>
                <w:szCs w:val="24"/>
                <w:shd w:val="clear" w:color="auto" w:fill="auto"/>
              </w:rPr>
              <w:t>宜结合绿地</w:t>
            </w:r>
            <w:r>
              <w:rPr>
                <w:rFonts w:hint="eastAsia" w:ascii="仿宋" w:hAnsi="仿宋" w:eastAsia="仿宋" w:cs="仿宋"/>
                <w:color w:val="auto"/>
                <w:kern w:val="24"/>
                <w:sz w:val="24"/>
                <w:szCs w:val="24"/>
                <w:shd w:val="clear" w:color="auto" w:fill="auto"/>
                <w:lang w:eastAsia="zh-CN"/>
              </w:rPr>
              <w:t>设置；</w:t>
            </w:r>
          </w:p>
          <w:p>
            <w:pPr>
              <w:keepNext w:val="0"/>
              <w:keepLines w:val="0"/>
              <w:pageBreakBefore w:val="0"/>
              <w:kinsoku/>
              <w:wordWrap/>
              <w:overflowPunct/>
              <w:topLinePunct w:val="0"/>
              <w:autoSpaceDE/>
              <w:autoSpaceDN w:val="0"/>
              <w:bidi w:val="0"/>
              <w:adjustRightInd/>
              <w:snapToGrid/>
              <w:spacing w:line="240" w:lineRule="auto"/>
              <w:ind w:firstLine="0" w:firstLineChars="0"/>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kern w:val="24"/>
                <w:sz w:val="24"/>
                <w:szCs w:val="24"/>
                <w:shd w:val="clear" w:color="auto" w:fill="auto"/>
              </w:rPr>
              <w:t>(2)宜在居住街坊范围内设置</w:t>
            </w:r>
            <w:r>
              <w:rPr>
                <w:rFonts w:hint="eastAsia" w:ascii="仿宋" w:hAnsi="仿宋" w:eastAsia="仿宋" w:cs="仿宋"/>
                <w:color w:val="auto"/>
                <w:kern w:val="24"/>
                <w:sz w:val="24"/>
                <w:szCs w:val="24"/>
                <w:shd w:val="clear" w:color="auto" w:fill="auto"/>
                <w:lang w:eastAsia="zh-CN"/>
              </w:rPr>
              <w:t>。</w:t>
            </w:r>
          </w:p>
        </w:tc>
      </w:tr>
    </w:tbl>
    <w:p>
      <w:pPr>
        <w:keepNext w:val="0"/>
        <w:keepLines w:val="0"/>
        <w:pageBreakBefore w:val="0"/>
        <w:widowControl/>
        <w:kinsoku/>
        <w:wordWrap/>
        <w:overflowPunct/>
        <w:topLinePunct w:val="0"/>
        <w:autoSpaceDE/>
        <w:bidi w:val="0"/>
        <w:adjustRightInd/>
        <w:snapToGrid/>
        <w:spacing w:line="360" w:lineRule="auto"/>
        <w:ind w:firstLine="0" w:firstLineChars="0"/>
        <w:textAlignment w:val="auto"/>
        <w:rPr>
          <w:color w:val="auto"/>
          <w:shd w:val="clear" w:color="auto" w:fill="auto"/>
          <w:lang w:val="en-US" w:eastAsia="zh-CN"/>
        </w:rPr>
      </w:pPr>
      <w:r>
        <w:rPr>
          <w:rFonts w:hint="eastAsia" w:ascii="仿宋" w:hAnsi="仿宋" w:eastAsia="仿宋" w:cs="仿宋"/>
          <w:color w:val="auto"/>
          <w:kern w:val="0"/>
          <w:sz w:val="21"/>
          <w:szCs w:val="21"/>
          <w:shd w:val="clear" w:color="auto" w:fill="auto"/>
        </w:rPr>
        <w:t>注： ▲为应配建的项目</w:t>
      </w:r>
      <w:r>
        <w:rPr>
          <w:rFonts w:hint="eastAsia" w:ascii="宋体" w:hAnsi="宋体"/>
          <w:color w:val="auto"/>
          <w:kern w:val="0"/>
          <w:sz w:val="21"/>
          <w:szCs w:val="21"/>
          <w:shd w:val="clear" w:color="auto" w:fill="auto"/>
        </w:rPr>
        <w:t>。</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jc w:val="both"/>
        <w:rPr>
          <w:rFonts w:hint="eastAsia"/>
          <w:color w:val="auto"/>
          <w:sz w:val="36"/>
          <w:szCs w:val="36"/>
          <w:shd w:val="clear" w:color="auto" w:fill="auto"/>
          <w:lang w:val="en-US" w:eastAsia="zh-CN"/>
        </w:rPr>
      </w:pPr>
      <w:r>
        <w:rPr>
          <w:rFonts w:hint="eastAsia" w:ascii="仿宋" w:hAnsi="仿宋" w:eastAsia="仿宋" w:cs="仿宋"/>
          <w:color w:val="auto"/>
          <w:kern w:val="2"/>
          <w:sz w:val="30"/>
          <w:szCs w:val="30"/>
          <w:shd w:val="clear" w:color="auto" w:fill="auto"/>
          <w:lang w:val="en-US" w:eastAsia="zh-CN" w:bidi="zh-CN"/>
        </w:rPr>
        <w:t>除了要符合《城市居住区规划设计标准》（GB50180-2018）规定外，新建住宅小区应将养老用房纳入公共服务配套用房计划，凡新建居住(小)区，人口少于0.5万的，配建建筑面积不得低于150平方米,人口大于0.5万的，配建建筑面积不得低于350平方米。已建成居住(小)区无养老服务设施或现有设施未达到规划和建设指标要求的，要按每千户室内为老服务场所不低于150平方米、室外老年人活动场所不低于300平方米的标准，通过购置、置换、租赁等方式开辟养老服务设施,支持盘活利用存量资源改造为养老服务设施，保证老年人就近养老需求。</w:t>
      </w:r>
    </w:p>
    <w:p>
      <w:pPr>
        <w:pStyle w:val="11"/>
        <w:pageBreakBefore w:val="0"/>
        <w:widowControl/>
        <w:numPr>
          <w:ilvl w:val="0"/>
          <w:numId w:val="0"/>
        </w:numPr>
        <w:shd w:val="clear" w:color="auto" w:fill="FFFFFF"/>
        <w:tabs>
          <w:tab w:val="left" w:pos="0"/>
        </w:tabs>
        <w:kinsoku/>
        <w:wordWrap/>
        <w:overflowPunct/>
        <w:topLinePunct w:val="0"/>
        <w:autoSpaceDE/>
        <w:bidi w:val="0"/>
        <w:spacing w:beforeAutospacing="0" w:afterAutospacing="0" w:line="360" w:lineRule="auto"/>
        <w:ind w:leftChars="200" w:right="0" w:rightChars="0"/>
        <w:jc w:val="both"/>
        <w:rPr>
          <w:rFonts w:hint="eastAsia"/>
          <w:color w:val="auto"/>
          <w:sz w:val="36"/>
          <w:szCs w:val="36"/>
          <w:shd w:val="clear" w:color="auto" w:fill="auto"/>
          <w:lang w:val="en-US" w:eastAsia="zh-CN"/>
        </w:rPr>
      </w:pPr>
    </w:p>
    <w:p>
      <w:pPr>
        <w:pStyle w:val="2"/>
        <w:pageBreakBefore w:val="0"/>
        <w:numPr>
          <w:ilvl w:val="0"/>
          <w:numId w:val="3"/>
        </w:numPr>
        <w:kinsoku/>
        <w:wordWrap/>
        <w:overflowPunct/>
        <w:topLinePunct w:val="0"/>
        <w:autoSpaceDE/>
        <w:bidi w:val="0"/>
        <w:spacing w:line="360" w:lineRule="auto"/>
        <w:ind w:firstLine="723" w:firstLineChars="200"/>
        <w:jc w:val="center"/>
        <w:rPr>
          <w:rFonts w:hint="eastAsia"/>
          <w:color w:val="auto"/>
          <w:sz w:val="36"/>
          <w:szCs w:val="36"/>
          <w:shd w:val="clear" w:color="auto" w:fill="auto"/>
          <w:lang w:val="en-US" w:eastAsia="zh-CN"/>
        </w:rPr>
      </w:pPr>
      <w:bookmarkStart w:id="23" w:name="_Toc11293"/>
      <w:r>
        <w:rPr>
          <w:rFonts w:hint="eastAsia"/>
          <w:color w:val="auto"/>
          <w:sz w:val="36"/>
          <w:szCs w:val="36"/>
          <w:shd w:val="clear" w:color="auto" w:fill="auto"/>
          <w:lang w:val="en-US" w:eastAsia="zh-CN"/>
        </w:rPr>
        <w:t>道路与交通设施</w:t>
      </w:r>
      <w:bookmarkEnd w:id="23"/>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jc w:val="both"/>
        <w:rPr>
          <w:rFonts w:hint="eastAsia" w:ascii="仿宋" w:hAnsi="仿宋" w:eastAsia="仿宋" w:cs="仿宋"/>
          <w:strike w:val="0"/>
          <w:dstrike w:val="0"/>
          <w:color w:val="auto"/>
          <w:sz w:val="30"/>
          <w:szCs w:val="30"/>
          <w:shd w:val="clear" w:color="auto" w:fill="auto"/>
          <w:lang w:val="en-US" w:eastAsia="zh-CN"/>
        </w:rPr>
      </w:pPr>
      <w:r>
        <w:rPr>
          <w:rFonts w:hint="eastAsia" w:ascii="仿宋" w:hAnsi="仿宋" w:eastAsia="仿宋" w:cs="仿宋"/>
          <w:strike w:val="0"/>
          <w:dstrike w:val="0"/>
          <w:color w:val="auto"/>
          <w:sz w:val="30"/>
          <w:szCs w:val="30"/>
          <w:shd w:val="clear" w:color="auto" w:fill="auto"/>
          <w:lang w:val="en-US" w:eastAsia="zh-CN"/>
        </w:rPr>
        <w:t>道路分级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城市道路划分为快速路、主干路、次干路及支路四级，其等级由国土空间规划确定。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道路间距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主干路与主干路的间距一般应当为500</w:t>
      </w:r>
      <w:r>
        <w:rPr>
          <w:rFonts w:hint="eastAsia" w:ascii="仿宋" w:hAnsi="仿宋" w:eastAsia="仿宋" w:cs="仿宋"/>
          <w:color w:val="auto"/>
          <w:sz w:val="21"/>
          <w:szCs w:val="21"/>
          <w:shd w:val="clear" w:color="auto" w:fill="auto"/>
        </w:rPr>
        <w:t>～</w:t>
      </w:r>
      <w:r>
        <w:rPr>
          <w:rFonts w:hint="eastAsia" w:ascii="仿宋" w:hAnsi="仿宋" w:eastAsia="仿宋" w:cs="仿宋"/>
          <w:color w:val="auto"/>
          <w:kern w:val="2"/>
          <w:sz w:val="30"/>
          <w:szCs w:val="30"/>
          <w:shd w:val="clear" w:color="auto" w:fill="auto"/>
          <w:lang w:val="en-US" w:eastAsia="zh-CN" w:bidi="zh-CN"/>
        </w:rPr>
        <w:t>1000米，次干路与主干路、次干路与次干路的间距一般应当300</w:t>
      </w:r>
      <w:r>
        <w:rPr>
          <w:rFonts w:hint="eastAsia" w:ascii="仿宋" w:hAnsi="仿宋" w:eastAsia="仿宋" w:cs="仿宋"/>
          <w:color w:val="auto"/>
          <w:sz w:val="21"/>
          <w:szCs w:val="21"/>
          <w:shd w:val="clear" w:color="auto" w:fill="auto"/>
        </w:rPr>
        <w:t>～</w:t>
      </w:r>
      <w:r>
        <w:rPr>
          <w:rFonts w:hint="eastAsia" w:ascii="仿宋" w:hAnsi="仿宋" w:eastAsia="仿宋" w:cs="仿宋"/>
          <w:color w:val="auto"/>
          <w:kern w:val="2"/>
          <w:sz w:val="30"/>
          <w:szCs w:val="30"/>
          <w:shd w:val="clear" w:color="auto" w:fill="auto"/>
          <w:lang w:val="en-US" w:eastAsia="zh-CN" w:bidi="zh-CN"/>
        </w:rPr>
        <w:t>500米，支路的间距一般应当为150</w:t>
      </w:r>
      <w:r>
        <w:rPr>
          <w:rFonts w:hint="eastAsia" w:ascii="仿宋" w:hAnsi="仿宋" w:eastAsia="仿宋" w:cs="仿宋"/>
          <w:color w:val="auto"/>
          <w:sz w:val="21"/>
          <w:szCs w:val="21"/>
          <w:shd w:val="clear" w:color="auto" w:fill="auto"/>
        </w:rPr>
        <w:t>～</w:t>
      </w:r>
      <w:r>
        <w:rPr>
          <w:rFonts w:hint="eastAsia" w:ascii="仿宋" w:hAnsi="仿宋" w:eastAsia="仿宋" w:cs="仿宋"/>
          <w:color w:val="auto"/>
          <w:kern w:val="2"/>
          <w:sz w:val="30"/>
          <w:szCs w:val="30"/>
          <w:shd w:val="clear" w:color="auto" w:fill="auto"/>
          <w:lang w:val="en-US" w:eastAsia="zh-CN" w:bidi="zh-CN"/>
        </w:rPr>
        <w:t>250米。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color w:val="auto"/>
          <w:sz w:val="30"/>
          <w:szCs w:val="30"/>
          <w:shd w:val="clear" w:color="auto" w:fill="auto"/>
          <w:lang w:val="en-US" w:eastAsia="zh-CN"/>
        </w:rPr>
        <w:t>道路最小净高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表5.1道路最小净高</w:t>
      </w:r>
    </w:p>
    <w:tbl>
      <w:tblPr>
        <w:tblStyle w:val="13"/>
        <w:tblpPr w:leftFromText="180" w:rightFromText="180" w:vertAnchor="text" w:horzAnchor="page" w:tblpX="1591" w:tblpY="56"/>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3753"/>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道路种类</w:t>
            </w:r>
          </w:p>
        </w:tc>
        <w:tc>
          <w:tcPr>
            <w:tcW w:w="20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行驶车辆类型</w:t>
            </w:r>
          </w:p>
        </w:tc>
        <w:tc>
          <w:tcPr>
            <w:tcW w:w="1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最小净高（m）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490"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36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机动车道</w:t>
            </w:r>
          </w:p>
        </w:tc>
        <w:tc>
          <w:tcPr>
            <w:tcW w:w="20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各种机动车</w:t>
            </w:r>
          </w:p>
        </w:tc>
        <w:tc>
          <w:tcPr>
            <w:tcW w:w="1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490" w:type="pct"/>
            <w:vMerge w:val="continu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p>
        </w:tc>
        <w:tc>
          <w:tcPr>
            <w:tcW w:w="20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小客车</w:t>
            </w:r>
          </w:p>
        </w:tc>
        <w:tc>
          <w:tcPr>
            <w:tcW w:w="1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非机动车道</w:t>
            </w:r>
          </w:p>
        </w:tc>
        <w:tc>
          <w:tcPr>
            <w:tcW w:w="20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自行车、三轮车</w:t>
            </w:r>
          </w:p>
        </w:tc>
        <w:tc>
          <w:tcPr>
            <w:tcW w:w="1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人行道</w:t>
            </w:r>
          </w:p>
        </w:tc>
        <w:tc>
          <w:tcPr>
            <w:tcW w:w="20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行人</w:t>
            </w:r>
          </w:p>
        </w:tc>
        <w:tc>
          <w:tcPr>
            <w:tcW w:w="1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2.5</w:t>
            </w:r>
          </w:p>
        </w:tc>
      </w:tr>
    </w:tbl>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注：1.对通行无轨电车、有轨电车、双层客车等其他特种车辆的道路，最小净高应满足车辆通行的要求。</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2.道路设计中应做好与公路以及不同净高要求的道路间的衔接过渡，同时应设置必要的指示、诱导标志及防撞等设施。</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车道宽度</w:t>
      </w:r>
    </w:p>
    <w:p>
      <w:pPr>
        <w:pStyle w:val="6"/>
        <w:keepNext w:val="0"/>
        <w:keepLines w:val="0"/>
        <w:pageBreakBefore w:val="0"/>
        <w:widowControl w:val="0"/>
        <w:numPr>
          <w:ilvl w:val="0"/>
          <w:numId w:val="17"/>
        </w:numPr>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机动车道最小宽度应符合</w:t>
      </w:r>
      <w:r>
        <w:rPr>
          <w:rFonts w:hint="eastAsia" w:ascii="仿宋" w:hAnsi="仿宋" w:eastAsia="仿宋" w:cs="仿宋"/>
          <w:color w:val="auto"/>
          <w:sz w:val="30"/>
          <w:szCs w:val="30"/>
          <w:shd w:val="clear" w:color="auto" w:fill="auto"/>
          <w:lang w:val="en-US" w:eastAsia="zh-CN"/>
        </w:rPr>
        <w:t>下表</w:t>
      </w:r>
      <w:r>
        <w:rPr>
          <w:rFonts w:hint="eastAsia" w:ascii="仿宋" w:hAnsi="仿宋" w:eastAsia="仿宋" w:cs="仿宋"/>
          <w:color w:val="auto"/>
          <w:sz w:val="30"/>
          <w:szCs w:val="30"/>
          <w:shd w:val="clear" w:color="auto" w:fill="auto"/>
        </w:rPr>
        <w:t>的规定：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表5.2机动车道最小宽度</w:t>
      </w:r>
    </w:p>
    <w:tbl>
      <w:tblPr>
        <w:tblStyle w:val="12"/>
        <w:tblW w:w="4879" w:type="pct"/>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8"/>
        <w:gridCol w:w="2204"/>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车型及车道类型</w:t>
            </w:r>
          </w:p>
        </w:tc>
        <w:tc>
          <w:tcPr>
            <w:tcW w:w="270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设计速度（km/h）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p>
        </w:tc>
        <w:tc>
          <w:tcPr>
            <w:tcW w:w="1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lang w:val="en-US" w:eastAsia="zh-CN"/>
              </w:rPr>
              <w:t>≥</w:t>
            </w:r>
            <w:r>
              <w:rPr>
                <w:rFonts w:hint="eastAsia" w:ascii="仿宋" w:hAnsi="仿宋" w:eastAsia="仿宋" w:cs="仿宋"/>
                <w:color w:val="auto"/>
                <w:sz w:val="24"/>
                <w:szCs w:val="24"/>
                <w:shd w:val="clear" w:color="auto" w:fill="auto"/>
              </w:rPr>
              <w:t>60</w:t>
            </w:r>
          </w:p>
        </w:tc>
        <w:tc>
          <w:tcPr>
            <w:tcW w:w="1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大型车或混行车道</w:t>
            </w:r>
            <w:r>
              <w:rPr>
                <w:rFonts w:hint="eastAsia" w:ascii="仿宋" w:hAnsi="仿宋" w:eastAsia="仿宋" w:cs="仿宋"/>
                <w:b/>
                <w:bCs/>
                <w:color w:val="auto"/>
                <w:sz w:val="24"/>
                <w:szCs w:val="24"/>
                <w:shd w:val="clear" w:color="auto" w:fill="auto"/>
                <w:lang w:val="en-US" w:eastAsia="zh-CN"/>
              </w:rPr>
              <w:t>单幅车道宽度</w:t>
            </w:r>
            <w:r>
              <w:rPr>
                <w:rFonts w:hint="eastAsia" w:ascii="仿宋" w:hAnsi="仿宋" w:eastAsia="仿宋" w:cs="仿宋"/>
                <w:b/>
                <w:bCs/>
                <w:color w:val="auto"/>
                <w:sz w:val="24"/>
                <w:szCs w:val="24"/>
                <w:shd w:val="clear" w:color="auto" w:fill="auto"/>
              </w:rPr>
              <w:t>（m）</w:t>
            </w:r>
          </w:p>
        </w:tc>
        <w:tc>
          <w:tcPr>
            <w:tcW w:w="1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3.75</w:t>
            </w:r>
          </w:p>
        </w:tc>
        <w:tc>
          <w:tcPr>
            <w:tcW w:w="1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小客车专用车道</w:t>
            </w:r>
            <w:r>
              <w:rPr>
                <w:rFonts w:hint="eastAsia" w:ascii="仿宋" w:hAnsi="仿宋" w:eastAsia="仿宋" w:cs="仿宋"/>
                <w:b/>
                <w:bCs/>
                <w:color w:val="auto"/>
                <w:sz w:val="24"/>
                <w:szCs w:val="24"/>
                <w:shd w:val="clear" w:color="auto" w:fill="auto"/>
                <w:lang w:val="en-US" w:eastAsia="zh-CN"/>
              </w:rPr>
              <w:t>单幅车道宽度</w:t>
            </w:r>
            <w:r>
              <w:rPr>
                <w:rFonts w:hint="eastAsia" w:ascii="仿宋" w:hAnsi="仿宋" w:eastAsia="仿宋" w:cs="仿宋"/>
                <w:b/>
                <w:bCs/>
                <w:color w:val="auto"/>
                <w:sz w:val="24"/>
                <w:szCs w:val="24"/>
                <w:shd w:val="clear" w:color="auto" w:fill="auto"/>
              </w:rPr>
              <w:t>（m）</w:t>
            </w:r>
          </w:p>
        </w:tc>
        <w:tc>
          <w:tcPr>
            <w:tcW w:w="1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3.5</w:t>
            </w:r>
          </w:p>
        </w:tc>
        <w:tc>
          <w:tcPr>
            <w:tcW w:w="14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3.25</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1"/>
          <w:szCs w:val="21"/>
          <w:shd w:val="clear" w:color="auto" w:fill="auto"/>
          <w:lang w:val="zh-CN" w:eastAsia="zh-CN"/>
        </w:rPr>
      </w:pPr>
      <w:r>
        <w:rPr>
          <w:rFonts w:hint="eastAsia" w:ascii="仿宋" w:hAnsi="仿宋" w:eastAsia="仿宋" w:cs="仿宋"/>
          <w:color w:val="auto"/>
          <w:sz w:val="21"/>
          <w:szCs w:val="21"/>
          <w:shd w:val="clear" w:color="auto" w:fill="auto"/>
          <w:lang w:val="en-US" w:eastAsia="zh-CN"/>
        </w:rPr>
        <w:t>注：机动车道路面宽度应包括车行道宽度及两侧路缘带宽度，单幅路及三幅路采用中间分隔物或双黄线分隔对向交通时，机动车道路面宽度还应包括分隔物或双黄线的宽度。</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color w:val="auto"/>
          <w:kern w:val="2"/>
          <w:sz w:val="30"/>
          <w:szCs w:val="30"/>
          <w:shd w:val="clear" w:color="auto" w:fill="auto"/>
          <w:lang w:val="zh-CN" w:eastAsia="zh-CN" w:bidi="zh-CN"/>
        </w:rPr>
      </w:pPr>
      <w:r>
        <w:rPr>
          <w:rFonts w:hint="eastAsia" w:ascii="仿宋" w:hAnsi="仿宋" w:eastAsia="仿宋" w:cs="仿宋"/>
          <w:color w:val="auto"/>
          <w:kern w:val="2"/>
          <w:sz w:val="30"/>
          <w:szCs w:val="30"/>
          <w:shd w:val="clear" w:color="auto" w:fill="auto"/>
          <w:lang w:val="en-US" w:eastAsia="zh-CN" w:bidi="zh-CN"/>
        </w:rPr>
        <w:t>2、非机动车道宽度应符合下表的规定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1"/>
          <w:szCs w:val="21"/>
          <w:shd w:val="clear" w:color="auto" w:fill="auto"/>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z w:val="28"/>
          <w:szCs w:val="28"/>
          <w:shd w:val="clear" w:color="auto" w:fill="auto"/>
          <w:lang w:val="en-US" w:eastAsia="zh-CN"/>
        </w:rPr>
        <w:t>表5.3非机动车道最小宽度</w:t>
      </w:r>
    </w:p>
    <w:tbl>
      <w:tblPr>
        <w:tblStyle w:val="12"/>
        <w:tblpPr w:leftFromText="180" w:rightFromText="180" w:vertAnchor="text" w:horzAnchor="page" w:tblpX="1594" w:tblpY="87"/>
        <w:tblOverlap w:val="never"/>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3"/>
        <w:gridCol w:w="2596"/>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车辆种类</w:t>
            </w:r>
          </w:p>
        </w:tc>
        <w:tc>
          <w:tcPr>
            <w:tcW w:w="1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自行车</w:t>
            </w:r>
          </w:p>
        </w:tc>
        <w:tc>
          <w:tcPr>
            <w:tcW w:w="1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三轮车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非机动车道</w:t>
            </w:r>
            <w:r>
              <w:rPr>
                <w:rFonts w:hint="eastAsia" w:ascii="仿宋" w:hAnsi="仿宋" w:eastAsia="仿宋" w:cs="仿宋"/>
                <w:b/>
                <w:bCs/>
                <w:color w:val="auto"/>
                <w:sz w:val="24"/>
                <w:szCs w:val="24"/>
                <w:shd w:val="clear" w:color="auto" w:fill="auto"/>
                <w:lang w:val="en-US" w:eastAsia="zh-CN"/>
              </w:rPr>
              <w:t>单幅车道</w:t>
            </w:r>
            <w:r>
              <w:rPr>
                <w:rFonts w:hint="eastAsia" w:ascii="仿宋" w:hAnsi="仿宋" w:eastAsia="仿宋" w:cs="仿宋"/>
                <w:b/>
                <w:bCs/>
                <w:color w:val="auto"/>
                <w:sz w:val="24"/>
                <w:szCs w:val="24"/>
                <w:shd w:val="clear" w:color="auto" w:fill="auto"/>
              </w:rPr>
              <w:t>宽度（m）</w:t>
            </w:r>
          </w:p>
        </w:tc>
        <w:tc>
          <w:tcPr>
            <w:tcW w:w="138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7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仿宋" w:hAnsi="仿宋" w:eastAsia="仿宋" w:cs="仿宋"/>
          <w:color w:val="auto"/>
          <w:sz w:val="21"/>
          <w:szCs w:val="21"/>
          <w:shd w:val="clear" w:color="auto" w:fill="auto"/>
          <w:lang w:val="en-US"/>
        </w:rPr>
      </w:pPr>
      <w:r>
        <w:rPr>
          <w:rFonts w:hint="eastAsia" w:ascii="仿宋" w:hAnsi="仿宋" w:eastAsia="仿宋" w:cs="仿宋"/>
          <w:color w:val="auto"/>
          <w:sz w:val="21"/>
          <w:szCs w:val="21"/>
          <w:shd w:val="clear" w:color="auto" w:fill="auto"/>
        </w:rPr>
        <w:t>注：1、与机动车道合并设置的非机动车车道，车道数单向不应小于2条，宽度不应小于3</w:t>
      </w:r>
      <w:r>
        <w:rPr>
          <w:rFonts w:hint="eastAsia" w:ascii="仿宋" w:hAnsi="仿宋" w:eastAsia="仿宋" w:cs="仿宋"/>
          <w:color w:val="auto"/>
          <w:sz w:val="21"/>
          <w:szCs w:val="21"/>
          <w:shd w:val="clear" w:color="auto" w:fill="auto"/>
          <w:lang w:val="en-US" w:eastAsia="zh-CN"/>
        </w:rPr>
        <w:t>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w:t>
      </w:r>
      <w:r>
        <w:rPr>
          <w:rFonts w:hint="eastAsia" w:ascii="仿宋" w:hAnsi="仿宋" w:eastAsia="仿宋" w:cs="仿宋"/>
          <w:color w:val="auto"/>
          <w:sz w:val="21"/>
          <w:szCs w:val="21"/>
          <w:shd w:val="clear" w:color="auto" w:fill="auto"/>
        </w:rPr>
        <w:t>非机动车专用道路面宽度应包括车道宽度及两侧路缘带宽度，单向不宜小于3.5</w:t>
      </w:r>
      <w:r>
        <w:rPr>
          <w:rFonts w:hint="eastAsia" w:ascii="仿宋" w:hAnsi="仿宋" w:eastAsia="仿宋" w:cs="仿宋"/>
          <w:color w:val="auto"/>
          <w:sz w:val="21"/>
          <w:szCs w:val="21"/>
          <w:shd w:val="clear" w:color="auto" w:fill="auto"/>
          <w:lang w:val="en-US" w:eastAsia="zh-CN"/>
        </w:rPr>
        <w:t>米</w:t>
      </w:r>
      <w:r>
        <w:rPr>
          <w:rFonts w:hint="eastAsia" w:ascii="仿宋" w:hAnsi="仿宋" w:eastAsia="仿宋" w:cs="仿宋"/>
          <w:color w:val="auto"/>
          <w:sz w:val="21"/>
          <w:szCs w:val="21"/>
          <w:shd w:val="clear" w:color="auto" w:fill="auto"/>
        </w:rPr>
        <w:t>，双向不宜小于4.5</w:t>
      </w:r>
      <w:r>
        <w:rPr>
          <w:rFonts w:hint="eastAsia" w:ascii="仿宋" w:hAnsi="仿宋" w:eastAsia="仿宋" w:cs="仿宋"/>
          <w:color w:val="auto"/>
          <w:sz w:val="21"/>
          <w:szCs w:val="21"/>
          <w:shd w:val="clear" w:color="auto" w:fill="auto"/>
          <w:lang w:val="en-US" w:eastAsia="zh-CN"/>
        </w:rPr>
        <w:t>米</w:t>
      </w:r>
      <w:r>
        <w:rPr>
          <w:rFonts w:hint="eastAsia" w:ascii="仿宋" w:hAnsi="仿宋" w:eastAsia="仿宋" w:cs="仿宋"/>
          <w:color w:val="auto"/>
          <w:sz w:val="21"/>
          <w:szCs w:val="21"/>
          <w:shd w:val="clear" w:color="auto" w:fill="auto"/>
        </w:rPr>
        <w:t>。</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新建、改建城市道路应以相应的国土空间规划为依据，与相关专项规划相衔接，并符合有关标准和规定。</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1、城市道路的设计、施工应符合规划的道路红线宽度及竖向标高；</w:t>
      </w:r>
    </w:p>
    <w:p>
      <w:pPr>
        <w:keepNext w:val="0"/>
        <w:keepLines w:val="0"/>
        <w:pageBreakBefore w:val="0"/>
        <w:widowControl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2、道路纵坡控制在8％以下。新建道路应采用小于或等于最大纵坡一般值；改建道路、受地形条件或其他特殊情况限制时，可采用最大纵坡极限值。除快速路以外的其他等级道路，受地形条件或其他特殊情况限制时，经技术经济论证后，最大纵坡极限值可增加1.0%。积雪或冰冻地区的快速路最大纵坡不应大于3.5%，其他等级道路最大纵坡不应大于6.0%。</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3、人行天桥和人行地道的设置应符合下列规定：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w:t>
      </w:r>
      <w:r>
        <w:rPr>
          <w:rFonts w:hint="default" w:ascii="仿宋" w:hAnsi="仿宋" w:eastAsia="仿宋" w:cs="仿宋"/>
          <w:color w:val="auto"/>
          <w:kern w:val="2"/>
          <w:sz w:val="30"/>
          <w:szCs w:val="30"/>
          <w:shd w:val="clear" w:color="auto" w:fill="auto"/>
          <w:lang w:val="en-US" w:eastAsia="zh-CN" w:bidi="zh-CN"/>
        </w:rPr>
        <w:t>1</w:t>
      </w:r>
      <w:r>
        <w:rPr>
          <w:rFonts w:hint="eastAsia" w:ascii="仿宋" w:hAnsi="仿宋" w:eastAsia="仿宋" w:cs="仿宋"/>
          <w:color w:val="auto"/>
          <w:kern w:val="2"/>
          <w:sz w:val="30"/>
          <w:szCs w:val="30"/>
          <w:shd w:val="clear" w:color="auto" w:fill="auto"/>
          <w:lang w:val="en-US" w:eastAsia="zh-CN" w:bidi="zh-CN"/>
        </w:rPr>
        <w:t>）</w:t>
      </w:r>
      <w:r>
        <w:rPr>
          <w:rFonts w:hint="default" w:ascii="仿宋" w:hAnsi="仿宋" w:eastAsia="仿宋" w:cs="仿宋"/>
          <w:color w:val="auto"/>
          <w:kern w:val="2"/>
          <w:sz w:val="30"/>
          <w:szCs w:val="30"/>
          <w:shd w:val="clear" w:color="auto" w:fill="auto"/>
          <w:lang w:val="en-US" w:eastAsia="zh-CN" w:bidi="zh-CN"/>
        </w:rPr>
        <w:t xml:space="preserve"> </w:t>
      </w:r>
      <w:r>
        <w:rPr>
          <w:rFonts w:hint="eastAsia" w:ascii="仿宋" w:hAnsi="仿宋" w:eastAsia="仿宋" w:cs="仿宋"/>
          <w:color w:val="auto"/>
          <w:kern w:val="2"/>
          <w:sz w:val="30"/>
          <w:szCs w:val="30"/>
          <w:shd w:val="clear" w:color="auto" w:fill="auto"/>
          <w:lang w:val="en-US" w:eastAsia="zh-CN" w:bidi="zh-CN"/>
        </w:rPr>
        <w:t>快速路行人过街必须设置人行天桥或人行地道，其他道路应根据机动车交通量和行人过街需求设置人行天桥或人行地道。</w:t>
      </w:r>
      <w:r>
        <w:rPr>
          <w:rFonts w:hint="eastAsia" w:ascii="仿宋" w:hAnsi="仿宋" w:eastAsia="仿宋" w:cs="仿宋"/>
          <w:color w:val="auto"/>
          <w:kern w:val="2"/>
          <w:sz w:val="30"/>
          <w:szCs w:val="30"/>
          <w:shd w:val="clear" w:color="auto" w:fill="auto"/>
          <w:lang w:val="en-US" w:eastAsia="zh-CN" w:bidi="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w:t>
      </w:r>
      <w:r>
        <w:rPr>
          <w:rFonts w:hint="default" w:ascii="仿宋" w:hAnsi="仿宋" w:eastAsia="仿宋" w:cs="仿宋"/>
          <w:color w:val="auto"/>
          <w:kern w:val="2"/>
          <w:sz w:val="30"/>
          <w:szCs w:val="30"/>
          <w:shd w:val="clear" w:color="auto" w:fill="auto"/>
          <w:lang w:val="en-US" w:eastAsia="zh-CN" w:bidi="zh-CN"/>
        </w:rPr>
        <w:t>2</w:t>
      </w:r>
      <w:r>
        <w:rPr>
          <w:rFonts w:hint="eastAsia" w:ascii="仿宋" w:hAnsi="仿宋" w:eastAsia="仿宋" w:cs="仿宋"/>
          <w:color w:val="auto"/>
          <w:kern w:val="2"/>
          <w:sz w:val="30"/>
          <w:szCs w:val="30"/>
          <w:shd w:val="clear" w:color="auto" w:fill="auto"/>
          <w:lang w:val="en-US" w:eastAsia="zh-CN" w:bidi="zh-CN"/>
        </w:rPr>
        <w:t xml:space="preserve">）在商业或车站、码头等区域人行天桥或人行地道的设置宜与两侧建筑物或地下开发相结合。有特殊需要时，可设置专用过街设施。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w:t>
      </w:r>
      <w:r>
        <w:rPr>
          <w:rFonts w:hint="default" w:ascii="仿宋" w:hAnsi="仿宋" w:eastAsia="仿宋" w:cs="仿宋"/>
          <w:color w:val="auto"/>
          <w:kern w:val="2"/>
          <w:sz w:val="30"/>
          <w:szCs w:val="30"/>
          <w:shd w:val="clear" w:color="auto" w:fill="auto"/>
          <w:lang w:val="en-US" w:eastAsia="zh-CN" w:bidi="zh-CN"/>
        </w:rPr>
        <w:t>3</w:t>
      </w:r>
      <w:r>
        <w:rPr>
          <w:rFonts w:hint="eastAsia" w:ascii="仿宋" w:hAnsi="仿宋" w:eastAsia="仿宋" w:cs="仿宋"/>
          <w:color w:val="auto"/>
          <w:kern w:val="2"/>
          <w:sz w:val="30"/>
          <w:szCs w:val="30"/>
          <w:shd w:val="clear" w:color="auto" w:fill="auto"/>
          <w:lang w:val="en-US" w:eastAsia="zh-CN" w:bidi="zh-CN"/>
        </w:rPr>
        <w:t>）</w:t>
      </w:r>
      <w:r>
        <w:rPr>
          <w:rFonts w:hint="default" w:ascii="仿宋" w:hAnsi="仿宋" w:eastAsia="仿宋" w:cs="仿宋"/>
          <w:color w:val="auto"/>
          <w:kern w:val="2"/>
          <w:sz w:val="30"/>
          <w:szCs w:val="30"/>
          <w:shd w:val="clear" w:color="auto" w:fill="auto"/>
          <w:lang w:val="en-US" w:eastAsia="zh-CN" w:bidi="zh-CN"/>
        </w:rPr>
        <w:t xml:space="preserve"> </w:t>
      </w:r>
      <w:r>
        <w:rPr>
          <w:rFonts w:hint="eastAsia" w:ascii="仿宋" w:hAnsi="仿宋" w:eastAsia="仿宋" w:cs="仿宋"/>
          <w:color w:val="auto"/>
          <w:kern w:val="2"/>
          <w:sz w:val="30"/>
          <w:szCs w:val="30"/>
          <w:shd w:val="clear" w:color="auto" w:fill="auto"/>
          <w:lang w:val="en-US" w:eastAsia="zh-CN" w:bidi="zh-CN"/>
        </w:rPr>
        <w:t xml:space="preserve">当自行车过街交通量不大时，人行天桥和人行地道可设置推行自行车过街的坡道。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w:t>
      </w:r>
      <w:r>
        <w:rPr>
          <w:rFonts w:hint="default" w:ascii="仿宋" w:hAnsi="仿宋" w:eastAsia="仿宋" w:cs="仿宋"/>
          <w:color w:val="auto"/>
          <w:kern w:val="2"/>
          <w:sz w:val="30"/>
          <w:szCs w:val="30"/>
          <w:shd w:val="clear" w:color="auto" w:fill="auto"/>
          <w:lang w:val="en-US" w:eastAsia="zh-CN" w:bidi="zh-CN"/>
        </w:rPr>
        <w:t>4</w:t>
      </w:r>
      <w:r>
        <w:rPr>
          <w:rFonts w:hint="eastAsia" w:ascii="仿宋" w:hAnsi="仿宋" w:eastAsia="仿宋" w:cs="仿宋"/>
          <w:color w:val="auto"/>
          <w:kern w:val="2"/>
          <w:sz w:val="30"/>
          <w:szCs w:val="30"/>
          <w:shd w:val="clear" w:color="auto" w:fill="auto"/>
          <w:lang w:val="en-US" w:eastAsia="zh-CN" w:bidi="zh-CN"/>
        </w:rPr>
        <w:t>）人行天桥和人行地道的其他设置条件应符合现行行业标准《城市人行天桥与人行地道技术规范》</w:t>
      </w:r>
      <w:r>
        <w:rPr>
          <w:rFonts w:hint="default" w:ascii="仿宋" w:hAnsi="仿宋" w:eastAsia="仿宋" w:cs="仿宋"/>
          <w:color w:val="auto"/>
          <w:kern w:val="2"/>
          <w:sz w:val="30"/>
          <w:szCs w:val="30"/>
          <w:shd w:val="clear" w:color="auto" w:fill="auto"/>
          <w:lang w:val="en-US" w:eastAsia="zh-CN" w:bidi="zh-CN"/>
        </w:rPr>
        <w:t xml:space="preserve">CJJ69 </w:t>
      </w:r>
      <w:r>
        <w:rPr>
          <w:rFonts w:hint="eastAsia" w:ascii="仿宋" w:hAnsi="仿宋" w:eastAsia="仿宋" w:cs="仿宋"/>
          <w:color w:val="auto"/>
          <w:kern w:val="2"/>
          <w:sz w:val="30"/>
          <w:szCs w:val="30"/>
          <w:shd w:val="clear" w:color="auto" w:fill="auto"/>
          <w:lang w:val="en-US" w:eastAsia="zh-CN" w:bidi="zh-CN"/>
        </w:rPr>
        <w:t xml:space="preserve">的规定。 </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4、人行道道沿高度不得小于0.1米。</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5、新建、改建城市道路应按规范设置方便残疾人使用的盲道等无障碍设施。</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6、特殊地形、地段城市道路建设，由自然资源主管部门按有关规定确定。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居住区内各级城市道路应突出居住使用功能特征与要求，并应符合下列规定:</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1、两侧集中布局了配套设施的道路，应形成尺度宜人的生活性街道;道路两侧建筑退线距离，应与街道尺度相协调;</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2、支路的红线宽度，宜为14米～20米;</w:t>
      </w:r>
    </w:p>
    <w:p>
      <w:pPr>
        <w:keepNext w:val="0"/>
        <w:keepLines w:val="0"/>
        <w:pageBreakBefore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3、道路断面形式应满足适宜步行及自行车骑行的要求，人行道宽度不应小于2.5米;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4、支路应采取交通稳静化措施，适当控制机动车行驶速度。</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居住街坊内附属道路的规划设计应满足消防、救护、搬家等车辆的通达要求，并应符合下列规定: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1主要附属道路至少应有两个车行出入口连接城市道路，其路面宽度不应小于4.0米;其他附属道路的路面宽度不宜小于2.5米;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2人行出入口间距不宜超过200米;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600" w:firstLineChars="200"/>
        <w:jc w:val="both"/>
        <w:textAlignment w:val="auto"/>
        <w:rPr>
          <w:rFonts w:hint="eastAsia" w:ascii="仿宋" w:hAnsi="仿宋" w:eastAsia="仿宋" w:cs="仿宋"/>
          <w:color w:val="auto"/>
          <w:kern w:val="2"/>
          <w:sz w:val="30"/>
          <w:szCs w:val="30"/>
          <w:shd w:val="clear" w:color="auto" w:fill="auto"/>
          <w:lang w:val="en-US" w:eastAsia="zh-CN" w:bidi="zh-CN"/>
        </w:rPr>
      </w:pPr>
      <w:r>
        <w:rPr>
          <w:rFonts w:hint="eastAsia" w:ascii="仿宋" w:hAnsi="仿宋" w:eastAsia="仿宋" w:cs="仿宋"/>
          <w:color w:val="auto"/>
          <w:kern w:val="2"/>
          <w:sz w:val="30"/>
          <w:szCs w:val="30"/>
          <w:shd w:val="clear" w:color="auto" w:fill="auto"/>
          <w:lang w:val="en-US" w:eastAsia="zh-CN" w:bidi="zh-CN"/>
        </w:rPr>
        <w:t>3最小纵坡不应小于0.3%，最大纵坡应符合下表的规定;机动车与非机动车混行的道路，其纵坡宜按照或分段按照非机动车道要求进行设计。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表5.4 附属道路最大纵坡控制指标（％）</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3105"/>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道路类别及其控制内容</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一般地区</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积雪或冰冻地区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机动车道</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8.0</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非机动车道</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3.0</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步行道</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8.0</w:t>
            </w:r>
          </w:p>
        </w:tc>
        <w:tc>
          <w:tcPr>
            <w:tcW w:w="166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4"/>
                <w:szCs w:val="24"/>
                <w:shd w:val="clear" w:color="auto" w:fill="auto"/>
                <w:vertAlign w:val="baseline"/>
                <w:lang w:val="en-US" w:eastAsia="zh-CN" w:bidi="ar"/>
              </w:rPr>
            </w:pPr>
            <w:r>
              <w:rPr>
                <w:rFonts w:hint="eastAsia" w:ascii="仿宋" w:hAnsi="仿宋" w:eastAsia="仿宋" w:cs="仿宋"/>
                <w:color w:val="auto"/>
                <w:kern w:val="0"/>
                <w:sz w:val="24"/>
                <w:szCs w:val="24"/>
                <w:shd w:val="clear" w:color="auto" w:fill="auto"/>
                <w:vertAlign w:val="baseline"/>
                <w:lang w:val="en-US" w:eastAsia="zh-CN" w:bidi="ar"/>
              </w:rPr>
              <w:t>4.0</w:t>
            </w:r>
          </w:p>
        </w:tc>
      </w:tr>
    </w:tbl>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default"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道路出入口设计</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kern w:val="0"/>
          <w:sz w:val="30"/>
          <w:szCs w:val="30"/>
          <w:shd w:val="clear" w:color="auto" w:fill="auto"/>
          <w:lang w:val="en-US" w:eastAsia="zh-CN" w:bidi="ar"/>
        </w:rPr>
        <w:t>道路出入口设计应符合下列规定：</w:t>
      </w:r>
    </w:p>
    <w:p>
      <w:pPr>
        <w:pStyle w:val="6"/>
        <w:keepNext w:val="0"/>
        <w:keepLines w:val="0"/>
        <w:pageBreakBefore w:val="0"/>
        <w:widowControl w:val="0"/>
        <w:numPr>
          <w:ilvl w:val="0"/>
          <w:numId w:val="18"/>
        </w:numPr>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城市快速</w:t>
      </w:r>
      <w:r>
        <w:rPr>
          <w:rFonts w:hint="eastAsia" w:ascii="仿宋" w:hAnsi="仿宋" w:eastAsia="仿宋" w:cs="仿宋"/>
          <w:color w:val="auto"/>
          <w:kern w:val="0"/>
          <w:sz w:val="30"/>
          <w:szCs w:val="30"/>
          <w:shd w:val="clear" w:color="auto" w:fill="auto"/>
          <w:lang w:val="en-US" w:eastAsia="zh-CN" w:bidi="ar"/>
        </w:rPr>
        <w:t>路沿线禁止在主道上设置机动车出入口。</w:t>
      </w:r>
    </w:p>
    <w:p>
      <w:pPr>
        <w:pStyle w:val="6"/>
        <w:keepNext w:val="0"/>
        <w:keepLines w:val="0"/>
        <w:pageBreakBefore w:val="0"/>
        <w:widowControl w:val="0"/>
        <w:numPr>
          <w:ilvl w:val="0"/>
          <w:numId w:val="18"/>
        </w:numPr>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kern w:val="0"/>
          <w:sz w:val="30"/>
          <w:szCs w:val="30"/>
          <w:shd w:val="clear" w:color="auto" w:fill="auto"/>
          <w:lang w:val="en-US" w:eastAsia="zh-CN" w:bidi="ar"/>
        </w:rPr>
        <w:t>城市主干道上严格控制开设机动车出入口。无其他解决办法确需开设的建设项目，须编制交通影响评价报告，提出改善交通安全与畅通的针对性措施，在审查通过并经自然资源主管部门、公安交通主管部门批准后方可开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kern w:val="0"/>
          <w:sz w:val="30"/>
          <w:szCs w:val="30"/>
          <w:shd w:val="clear" w:color="auto" w:fill="auto"/>
          <w:lang w:val="en-US" w:eastAsia="zh-CN" w:bidi="ar"/>
        </w:rPr>
        <w:t>建设项目仅临一条城市道路时，原则上只允许开设一个机动车出入口。当相邻城市道路为两条或两条以上时，建设净用地面积≤2公顷的项目，亦只允许开设一个机动车出入口，且应开向相邻的最低一级城市道路；建设净用地面积≥2公顷的项目或有大量车辆出入的项目，经批准方可设置开向不同城市道路的两个或两个以上机动车出入口。</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w:t>
      </w:r>
      <w:r>
        <w:rPr>
          <w:rFonts w:hint="eastAsia" w:ascii="仿宋" w:hAnsi="仿宋" w:eastAsia="仿宋" w:cs="仿宋"/>
          <w:color w:val="auto"/>
          <w:kern w:val="0"/>
          <w:sz w:val="30"/>
          <w:szCs w:val="30"/>
          <w:shd w:val="clear" w:color="auto" w:fill="auto"/>
          <w:lang w:val="en-US" w:eastAsia="zh-CN" w:bidi="ar"/>
        </w:rPr>
        <w:t>建设用地机动车出入口须开设在城市道路展宽段以外，位于城市主次干道上的建设用地机动车出入口距离城市道路交叉路口须≥70米；位于城市支路上的建设用地机动车出入口距离城市道路交叉路口须≥30米（以上距离均自缘石转弯曲线切点处起算）；位于城市道路交叉口的建设用地，因地块限制距交叉口距离达不到上述要求的，经批准其出入口可临远离交叉口一侧的用地红线边界处设置。</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5、</w:t>
      </w:r>
      <w:r>
        <w:rPr>
          <w:rFonts w:hint="eastAsia" w:ascii="仿宋" w:hAnsi="仿宋" w:eastAsia="仿宋" w:cs="仿宋"/>
          <w:color w:val="auto"/>
          <w:kern w:val="0"/>
          <w:sz w:val="30"/>
          <w:szCs w:val="30"/>
          <w:shd w:val="clear" w:color="auto" w:fill="auto"/>
          <w:lang w:val="en-US" w:eastAsia="zh-CN" w:bidi="ar"/>
        </w:rPr>
        <w:t>建筑基地机动车出入口距人行横道、人行天桥、人行地道（包括引道、引桥）的最近边缘线不应小于5米，距地铁出入口、公共交通站台最近边缘不应小于15米，距公园、学校及有儿童、老年人、残疾人使用建筑的出入口最近边缘不应小于20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6、</w:t>
      </w:r>
      <w:r>
        <w:rPr>
          <w:rFonts w:hint="eastAsia" w:ascii="仿宋" w:hAnsi="仿宋" w:eastAsia="仿宋" w:cs="仿宋"/>
          <w:color w:val="auto"/>
          <w:kern w:val="0"/>
          <w:sz w:val="30"/>
          <w:szCs w:val="30"/>
          <w:shd w:val="clear" w:color="auto" w:fill="auto"/>
          <w:lang w:val="en-US" w:eastAsia="zh-CN" w:bidi="ar"/>
        </w:rPr>
        <w:t>建筑基地对城市道路开设的出入口变坡点应设置在规划道路红线以外，出入口宽度不应大于7米，大客车（货车）出入口宽度不应大于10米，因特殊货物运输需要，10米宽出入口确实无法满足货运车辆出入交通要求的，出入口宽度根据实际情况确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jc w:val="both"/>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w:t>
      </w:r>
      <w:r>
        <w:rPr>
          <w:rFonts w:hint="eastAsia" w:ascii="仿宋" w:hAnsi="仿宋" w:eastAsia="仿宋" w:cs="仿宋"/>
          <w:color w:val="auto"/>
          <w:kern w:val="0"/>
          <w:sz w:val="30"/>
          <w:szCs w:val="30"/>
          <w:shd w:val="clear" w:color="auto" w:fill="auto"/>
          <w:lang w:val="en-US" w:eastAsia="zh-CN" w:bidi="ar"/>
        </w:rPr>
        <w:t>建筑基地内地下车库出入口与连接道路宜设置缓冲段，缓冲段应从车库出入口坡道起坡点算起，当出入口直接连接基地外城市道路时，其缓冲段长度不宜小于7.5米。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道路交叉口</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jc w:val="both"/>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平面交叉口出口道红线展宽、车道宽度及展宽段长度，应符合下列规定：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kern w:val="0"/>
          <w:sz w:val="30"/>
          <w:szCs w:val="30"/>
          <w:shd w:val="clear" w:color="auto" w:fill="auto"/>
          <w:lang w:val="en-US" w:eastAsia="zh-CN" w:bidi="ar"/>
        </w:rPr>
        <w:t>新建平面交叉口出口道规划设有公交港湾停靠站时，其规划红线应在路段规划红线的基础上展宽3.0米；上游进口道规划设有右转专用车道时，应相应增加右转出口道宽度。</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kern w:val="0"/>
          <w:sz w:val="30"/>
          <w:szCs w:val="30"/>
          <w:shd w:val="clear" w:color="auto" w:fill="auto"/>
          <w:lang w:val="en-US" w:eastAsia="zh-CN" w:bidi="ar"/>
        </w:rPr>
        <w:t>新建道路交叉口每条出口车道宽度不应小于下游路段车道宽度，改建和治理交叉口每条出口车道宽度不宜小于3.25米。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kern w:val="0"/>
          <w:sz w:val="30"/>
          <w:szCs w:val="30"/>
          <w:shd w:val="clear" w:color="auto" w:fill="auto"/>
          <w:lang w:val="en-US" w:eastAsia="zh-CN" w:bidi="ar"/>
        </w:rPr>
        <w:t>出口道展宽段长度，视道路等级，主干路不应小于60米，次干道不应小于45米，有公交港湾停靠站时，还应增加设置停靠站所需的长度。展宽渐变段长度不应小于20米。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sz w:val="30"/>
          <w:szCs w:val="30"/>
          <w:shd w:val="clear" w:color="auto" w:fill="auto"/>
          <w:lang w:val="en-US" w:eastAsia="zh-CN"/>
        </w:rPr>
        <w:t>4、</w:t>
      </w:r>
      <w:r>
        <w:rPr>
          <w:rFonts w:hint="eastAsia" w:ascii="仿宋" w:hAnsi="仿宋" w:eastAsia="仿宋" w:cs="仿宋"/>
          <w:color w:val="auto"/>
          <w:kern w:val="0"/>
          <w:sz w:val="30"/>
          <w:szCs w:val="30"/>
          <w:shd w:val="clear" w:color="auto" w:fill="auto"/>
          <w:lang w:val="en-US" w:eastAsia="zh-CN" w:bidi="ar"/>
        </w:rPr>
        <w:t>改建、治理平面交叉口出口道规划红线的展宽宽度、展宽段长度和展宽渐变段长度，应根据所在地点的具体情况确定。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default"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道路绿化</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城市道路绿化的布置和绿化植物的选择应符合城市道路的功能，不得影响道路交通的安全运行，并应符合下列规定：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城市道路路段的绿化覆盖率宜符合下表的规定。城市景观道路可在下表的基础上适度增加城市道路路段的绿化覆盖率；城市快速路宜根据道路特征确定道路绿化覆盖率。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表5.5 城市道路路段绿化覆盖率要求</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3"/>
        <w:gridCol w:w="1528"/>
        <w:gridCol w:w="1677"/>
        <w:gridCol w:w="1621"/>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城市道路红线宽度（m）</w:t>
            </w:r>
          </w:p>
        </w:tc>
        <w:tc>
          <w:tcPr>
            <w:tcW w:w="82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＞45</w:t>
            </w:r>
          </w:p>
        </w:tc>
        <w:tc>
          <w:tcPr>
            <w:tcW w:w="9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30-45</w:t>
            </w:r>
          </w:p>
        </w:tc>
        <w:tc>
          <w:tcPr>
            <w:tcW w:w="87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15-30</w:t>
            </w:r>
          </w:p>
        </w:tc>
        <w:tc>
          <w:tcPr>
            <w:tcW w:w="86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绿化覆盖率（％）</w:t>
            </w:r>
          </w:p>
        </w:tc>
        <w:tc>
          <w:tcPr>
            <w:tcW w:w="82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20</w:t>
            </w:r>
          </w:p>
        </w:tc>
        <w:tc>
          <w:tcPr>
            <w:tcW w:w="9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15</w:t>
            </w:r>
          </w:p>
        </w:tc>
        <w:tc>
          <w:tcPr>
            <w:tcW w:w="87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10</w:t>
            </w:r>
          </w:p>
        </w:tc>
        <w:tc>
          <w:tcPr>
            <w:tcW w:w="86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w w:val="105"/>
                <w:sz w:val="24"/>
                <w:szCs w:val="24"/>
                <w:shd w:val="clear" w:color="auto" w:fill="auto"/>
                <w:lang w:val="en-US" w:eastAsia="zh-CN"/>
              </w:rPr>
            </w:pPr>
            <w:r>
              <w:rPr>
                <w:rFonts w:hint="eastAsia" w:ascii="仿宋" w:hAnsi="仿宋" w:eastAsia="仿宋" w:cs="仿宋"/>
                <w:color w:val="auto"/>
                <w:w w:val="105"/>
                <w:sz w:val="24"/>
                <w:szCs w:val="24"/>
                <w:shd w:val="clear" w:color="auto" w:fill="auto"/>
                <w:lang w:val="en-US" w:eastAsia="zh-CN"/>
              </w:rPr>
              <w:t>酌情设置</w:t>
            </w:r>
          </w:p>
        </w:tc>
      </w:tr>
    </w:tbl>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仿宋_GB2312" w:hAnsi="仿宋_GB2312" w:eastAsia="仿宋_GB2312" w:cs="仿宋_GB2312"/>
          <w:color w:val="auto"/>
          <w:sz w:val="21"/>
          <w:szCs w:val="21"/>
          <w:shd w:val="clear" w:color="auto" w:fill="auto"/>
          <w:lang w:val="en-US" w:eastAsia="zh-CN"/>
        </w:rPr>
      </w:pPr>
      <w:r>
        <w:rPr>
          <w:rFonts w:hint="eastAsia" w:ascii="仿宋_GB2312" w:hAnsi="仿宋_GB2312" w:eastAsia="仿宋_GB2312" w:cs="仿宋_GB2312"/>
          <w:color w:val="auto"/>
          <w:sz w:val="21"/>
          <w:szCs w:val="21"/>
          <w:shd w:val="clear" w:color="auto" w:fill="auto"/>
          <w:lang w:val="en-US" w:eastAsia="zh-CN"/>
        </w:rPr>
        <w:t>注：城市快速路主辅路并行的路段，仅按照其辅路宽度适用上表。</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u w:val="none"/>
          <w:shd w:val="clear" w:color="auto" w:fill="auto"/>
          <w:lang w:val="en-US" w:eastAsia="zh-CN"/>
        </w:rPr>
      </w:pPr>
      <w:r>
        <w:rPr>
          <w:rFonts w:hint="eastAsia" w:ascii="仿宋_GB2312" w:hAnsi="仿宋_GB2312" w:eastAsia="仿宋_GB2312" w:cs="仿宋_GB2312"/>
          <w:color w:val="auto"/>
          <w:sz w:val="30"/>
          <w:szCs w:val="30"/>
          <w:u w:val="none"/>
          <w:shd w:val="clear" w:color="auto" w:fill="auto"/>
          <w:lang w:val="en-US" w:eastAsia="zh-CN"/>
        </w:rPr>
        <w:t>公交专用道设置</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w:t>
      </w:r>
      <w:r>
        <w:rPr>
          <w:rFonts w:hint="eastAsia" w:ascii="仿宋_GB2312" w:hAnsi="仿宋_GB2312" w:eastAsia="仿宋_GB2312" w:cs="仿宋_GB2312"/>
          <w:color w:val="auto"/>
          <w:kern w:val="0"/>
          <w:sz w:val="30"/>
          <w:szCs w:val="30"/>
          <w:shd w:val="clear" w:color="auto" w:fill="auto"/>
          <w:lang w:val="en-US" w:eastAsia="zh-CN" w:bidi="ar"/>
        </w:rPr>
        <w:t>公交专用车道宜设置在最外侧车道上。</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 w:hAnsi="仿宋" w:eastAsia="仿宋" w:cs="仿宋"/>
          <w:color w:val="auto"/>
          <w:sz w:val="30"/>
          <w:szCs w:val="30"/>
          <w:shd w:val="clear" w:color="auto" w:fill="auto"/>
          <w:lang w:val="en-US" w:eastAsia="zh-CN"/>
        </w:rPr>
        <w:t>2、</w:t>
      </w:r>
      <w:r>
        <w:rPr>
          <w:rFonts w:hint="eastAsia" w:ascii="仿宋_GB2312" w:hAnsi="仿宋_GB2312" w:eastAsia="仿宋_GB2312" w:cs="仿宋_GB2312"/>
          <w:color w:val="auto"/>
          <w:kern w:val="0"/>
          <w:sz w:val="30"/>
          <w:szCs w:val="30"/>
          <w:shd w:val="clear" w:color="auto" w:fill="auto"/>
          <w:lang w:val="en-US" w:eastAsia="zh-CN" w:bidi="ar"/>
        </w:rPr>
        <w:t>公交专用车道单车道宽度不应小于3.5米。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非机动车道和绿道系统</w:t>
      </w:r>
    </w:p>
    <w:p>
      <w:pPr>
        <w:pStyle w:val="6"/>
        <w:keepNext w:val="0"/>
        <w:keepLines w:val="0"/>
        <w:pageBreakBefore w:val="0"/>
        <w:widowControl w:val="0"/>
        <w:numPr>
          <w:ilvl w:val="0"/>
          <w:numId w:val="19"/>
        </w:numPr>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城市主、次干路应结合专项规划，合理设置非机动车道，并与机动车道隔离。</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kern w:val="0"/>
          <w:sz w:val="30"/>
          <w:szCs w:val="30"/>
          <w:shd w:val="clear" w:color="auto" w:fill="auto"/>
          <w:lang w:val="en-US" w:eastAsia="zh-CN" w:bidi="ar"/>
        </w:rPr>
      </w:pPr>
      <w:r>
        <w:rPr>
          <w:rFonts w:hint="eastAsia" w:ascii="仿宋" w:hAnsi="仿宋" w:eastAsia="仿宋" w:cs="仿宋"/>
          <w:color w:val="auto"/>
          <w:kern w:val="0"/>
          <w:sz w:val="30"/>
          <w:szCs w:val="30"/>
          <w:shd w:val="clear" w:color="auto" w:fill="auto"/>
          <w:lang w:val="en-US" w:eastAsia="zh-CN" w:bidi="ar"/>
        </w:rPr>
        <w:t>2、非机动车道最小宽度不应小于2.5米。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适宜自行车骑行的城市片区，非机动车道最小宽度不应小于2.5米；非机动车专用路、非机动车专用休闲与健身道、城市主次干路上的非机动车道，以及城市主要公共服务设施周边、客运走廊500米范围内城市道路上设置的非机动车道，单向通行宽度不宜小于3.5米，双向通行宽度不宜小于4.5米，并应与机动车交通之间采取物理隔离。</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0" w:right="0" w:rightChars="0" w:firstLine="600" w:firstLineChars="200"/>
        <w:textAlignment w:val="auto"/>
        <w:rPr>
          <w:rFonts w:hint="default"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w:t>
      </w:r>
      <w:r>
        <w:rPr>
          <w:rFonts w:hint="default" w:ascii="仿宋" w:hAnsi="仿宋" w:eastAsia="仿宋" w:cs="仿宋"/>
          <w:color w:val="auto"/>
          <w:sz w:val="30"/>
          <w:szCs w:val="30"/>
          <w:shd w:val="clear" w:color="auto" w:fill="auto"/>
          <w:lang w:val="en-US" w:eastAsia="zh-CN"/>
        </w:rPr>
        <w:t>绿道系统可结合自行车道设置，其建设应遵循因地制宜和生态最小干预的原则，尽量不开山、不填河、不改变原有道路的线路，并借河堤、公园路、林荫道等现有道路进行改造利用。绿道严禁设置在易发生滑坡、塌方、泥石流等地质灾害的地段，穿越滨水地带应注意防洪安全，设置防落水设施。</w:t>
      </w:r>
      <w:r>
        <w:rPr>
          <w:rFonts w:hint="eastAsia" w:ascii="仿宋" w:hAnsi="仿宋" w:eastAsia="仿宋" w:cs="仿宋"/>
          <w:color w:val="auto"/>
          <w:sz w:val="30"/>
          <w:szCs w:val="30"/>
          <w:shd w:val="clear" w:color="auto" w:fill="auto"/>
          <w:lang w:val="en-US" w:eastAsia="zh-CN"/>
        </w:rPr>
        <w:t>河道相关附属设施的建设应当符合河道管理条例。</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城市轨道交通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1、城市轨道交通线网规划应明确不同规划期城市轨道交通的功能定位、发展目标、发展模式和与其他交通方式的关系，提出线网规划布局以及线路和设施等用地的规划控制要求。</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2、城市轨道交通线网规划应与城市综合交通体系规划协调一致。</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3、下列区域或场所应划分为轨道交通地下和地上工程安全保护区的范围:</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（1）出入口、风亭、冷却塔、变电所和无障碍电梯等附属设施结构外边线外侧10米内;</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（2）地面车站和地面线路、高架车站和高架线路结构、车辆基地用地范围外边线外侧30米内；</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（3）地下车站与隧道结构外边线外侧50米内；</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（4）轨道交通穿（跨)越水域的隧道或桥梁结构外边线外侧100米内。</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4、城市轨道交通应划定公共安全保护区，并应按照区域和部位设置外界人、物禁入的区域及阻挡、防范设施。</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无障碍通道</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无障碍通道应符合下列规定：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1、新建、改建城市道路应按规范设置方便残疾人、老年人等有需求的人使用的轮椅坡道等无障碍设施。</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2、无障碍通道上有地面高差时，应设置轮椅坡道或缘石坡道。</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3、无障碍通道的通行净宽不应小于1.2米，人员密集的公共场所的通行净宽不应小于1.8米。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4、无障碍通道上的门洞口应满足轮椅通行，各类检票口、结算口等应设轮椅通道，通行净宽不应小于0.9米。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5、无障碍通道上有井盖、箅子时，井盖、箅子孔洞的宽度或直径不应大于13毫米，条状孔洞应垂直于通行方向。</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6、自动扶梯、楼梯的下部和其他室内外低矮空间可以进入时，应在净高不大于2米处采取安全阻挡措施。</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7、无障碍出入口的轮椅坡道横向坡度不应大于1:5，纵向坡度不应大于1:12，当条件受限且坡段起止点的高差不大于0.15米时，纵向坡度不应大于1:1。</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30" w:leftChars="0" w:right="0" w:firstLine="600" w:firstLineChars="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机动车停车场（库）</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1、机动车停车场（库）设计在满足本标准要求的同时，必须符合国家现行的有关设计标准和规范要求。</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2、机动车停车场（库）的服务半径，在城市中心地段一般不超过500米；在一般地段不宜超过800米。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地面机动车停车场标准车停放面积宜采用25-30平方米，地下机动车停车库与地上机动车停车楼标准车停放建筑面积宜采用30-40平方米，机械式机动车停车库标准车停放建筑面积宜采用15-25平方米，非机动车单个停车位建筑面积宜采用1.5-1.8平方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4、地面机动车停车场出入口数量应根据停车容量确定。当停车数量为50辆及以下时，可设1个出入口，应为双向行驶的出入口；当停车数量为51-300辆时，应设置2个出入口，宜为双向行驶的出入口；当停车数量为301</w:t>
      </w:r>
      <w:r>
        <w:rPr>
          <w:rFonts w:hint="eastAsia" w:ascii="仿宋" w:hAnsi="仿宋" w:eastAsia="仿宋" w:cs="仿宋"/>
          <w:color w:val="auto"/>
          <w:sz w:val="21"/>
          <w:szCs w:val="21"/>
          <w:shd w:val="clear" w:color="auto" w:fill="auto"/>
        </w:rPr>
        <w:t>～</w:t>
      </w:r>
      <w:r>
        <w:rPr>
          <w:rFonts w:hint="eastAsia" w:ascii="仿宋" w:hAnsi="仿宋" w:eastAsia="仿宋" w:cs="仿宋"/>
          <w:color w:val="auto"/>
          <w:sz w:val="30"/>
          <w:szCs w:val="30"/>
          <w:shd w:val="clear" w:color="auto" w:fill="auto"/>
          <w:lang w:val="en-US" w:eastAsia="zh-CN"/>
        </w:rPr>
        <w:t>500辆时，应设置2个双向行驶的出入口；当停车数量大于500辆时，应设置3个出入口，宜为双向行驶的出入口。</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5、机动车停车库出入口和车道数量应符合表5.6机动车停车库出入口和车道数量表的规定，相邻出入口之间的最小距离不应小于15米。当车道数量大于等于5条且停车当量大于3000辆时，机动车出入口数量应经过交通模拟计算确定。机动车停车库出入口宽度，双向行驶时不应小于7米，单向行驶时不应小于4米。</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仿宋" w:hAnsi="仿宋" w:eastAsia="仿宋" w:cs="仿宋"/>
          <w:b/>
          <w:bCs/>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 xml:space="preserve">表5.6 </w:t>
      </w:r>
      <w:r>
        <w:rPr>
          <w:rFonts w:hint="eastAsia" w:ascii="仿宋" w:hAnsi="仿宋" w:eastAsia="仿宋" w:cs="仿宋"/>
          <w:b/>
          <w:bCs/>
          <w:color w:val="auto"/>
          <w:sz w:val="28"/>
          <w:szCs w:val="28"/>
          <w:shd w:val="clear" w:color="auto" w:fill="auto"/>
          <w:lang w:val="en-US" w:eastAsia="zh-CN"/>
        </w:rPr>
        <w:t>机动车停车库出入口和车道数量表</w:t>
      </w:r>
    </w:p>
    <w:tbl>
      <w:tblPr>
        <w:tblStyle w:val="13"/>
        <w:tblW w:w="50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050"/>
        <w:gridCol w:w="1300"/>
        <w:gridCol w:w="1212"/>
        <w:gridCol w:w="1150"/>
        <w:gridCol w:w="1138"/>
        <w:gridCol w:w="943"/>
        <w:gridCol w:w="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53" w:type="pct"/>
            <w:vMerge w:val="restart"/>
            <w:vAlign w:val="center"/>
            <mc:AlternateContent>
              <mc:Choice Requires="wpsCustomData">
                <wpsCustomData:diagonals>
                  <wpsCustomData:diagonal from="10000" to="34000">
                    <wpsCustomData:border w:val="single" w:color="auto" w:sz="4" w:space="0"/>
                  </wpsCustomData:diagonal>
                  <wpsCustomData:diagonal from="10000" to="24800">
                    <wpsCustomData:border w:val="single" w:color="auto" w:sz="4" w:space="0"/>
                  </wpsCustomData:diagonal>
                </wpsCustomData:diagonals>
              </mc:Choice>
            </mc:AlternateContent>
          </w:tcPr>
          <w:p>
            <w:pPr>
              <w:pStyle w:val="6"/>
              <w:keepNext w:val="0"/>
              <w:keepLines w:val="0"/>
              <w:pageBreakBefore w:val="0"/>
              <w:widowControl w:val="0"/>
              <w:kinsoku/>
              <w:wordWrap/>
              <w:overflowPunct/>
              <w:topLinePunct w:val="0"/>
              <w:autoSpaceDE/>
              <w:autoSpaceDN/>
              <w:bidi w:val="0"/>
              <w:adjustRightInd/>
              <w:snapToGrid w:val="0"/>
              <w:spacing w:before="0" w:line="240" w:lineRule="auto"/>
              <w:ind w:left="0" w:firstLine="0" w:firstLineChars="0"/>
              <w:jc w:val="center"/>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出入口和车道数量</w:t>
            </w:r>
          </w:p>
          <w:p>
            <w:pPr>
              <w:pStyle w:val="6"/>
              <w:keepNext w:val="0"/>
              <w:keepLines w:val="0"/>
              <w:pageBreakBefore w:val="0"/>
              <w:widowControl w:val="0"/>
              <w:kinsoku/>
              <w:wordWrap/>
              <w:overflowPunct/>
              <w:topLinePunct w:val="0"/>
              <w:autoSpaceDE/>
              <w:autoSpaceDN/>
              <w:bidi w:val="0"/>
              <w:adjustRightInd/>
              <w:snapToGrid w:val="0"/>
              <w:spacing w:before="0" w:line="240" w:lineRule="auto"/>
              <w:ind w:left="0" w:firstLine="0" w:firstLineChars="0"/>
              <w:jc w:val="left"/>
              <w:textAlignment w:val="auto"/>
              <mc:AlternateContent>
                <mc:Choice Requires="wpsCustomData">
                  <wpsCustomData:diagonalParaType/>
                </mc:Choice>
              </mc:AlternateContent>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停车当量</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规模</w:t>
            </w:r>
          </w:p>
        </w:tc>
        <w:tc>
          <w:tcPr>
            <w:tcW w:w="560"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特大型</w:t>
            </w:r>
          </w:p>
        </w:tc>
        <w:tc>
          <w:tcPr>
            <w:tcW w:w="1341"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大型</w:t>
            </w:r>
          </w:p>
        </w:tc>
        <w:tc>
          <w:tcPr>
            <w:tcW w:w="1221"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中型</w:t>
            </w:r>
          </w:p>
        </w:tc>
        <w:tc>
          <w:tcPr>
            <w:tcW w:w="82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5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p>
        </w:tc>
        <w:tc>
          <w:tcPr>
            <w:tcW w:w="560"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＞1000</w:t>
            </w:r>
          </w:p>
        </w:tc>
        <w:tc>
          <w:tcPr>
            <w:tcW w:w="694"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501</w:t>
            </w:r>
            <w:r>
              <w:rPr>
                <w:rFonts w:hint="eastAsia" w:ascii="仿宋" w:hAnsi="仿宋" w:eastAsia="仿宋" w:cs="仿宋"/>
                <w:color w:val="auto"/>
                <w:sz w:val="21"/>
                <w:szCs w:val="21"/>
                <w:shd w:val="clear" w:color="auto" w:fill="auto"/>
              </w:rPr>
              <w:t>～</w:t>
            </w:r>
            <w:r>
              <w:rPr>
                <w:rFonts w:hint="eastAsia" w:ascii="仿宋" w:hAnsi="仿宋" w:eastAsia="仿宋" w:cs="仿宋"/>
                <w:color w:val="auto"/>
                <w:sz w:val="24"/>
                <w:szCs w:val="24"/>
                <w:shd w:val="clear" w:color="auto" w:fill="auto"/>
                <w:lang w:val="en-US" w:eastAsia="zh-CN"/>
              </w:rPr>
              <w:t>1000</w:t>
            </w:r>
          </w:p>
        </w:tc>
        <w:tc>
          <w:tcPr>
            <w:tcW w:w="647"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301</w:t>
            </w:r>
            <w:r>
              <w:rPr>
                <w:rFonts w:hint="eastAsia" w:ascii="仿宋" w:hAnsi="仿宋" w:eastAsia="仿宋" w:cs="仿宋"/>
                <w:color w:val="auto"/>
                <w:sz w:val="21"/>
                <w:szCs w:val="21"/>
                <w:shd w:val="clear" w:color="auto" w:fill="auto"/>
              </w:rPr>
              <w:t>～</w:t>
            </w:r>
            <w:r>
              <w:rPr>
                <w:rFonts w:hint="eastAsia" w:ascii="仿宋" w:hAnsi="仿宋" w:eastAsia="仿宋" w:cs="仿宋"/>
                <w:color w:val="auto"/>
                <w:sz w:val="24"/>
                <w:szCs w:val="24"/>
                <w:shd w:val="clear" w:color="auto" w:fill="auto"/>
                <w:lang w:val="en-US" w:eastAsia="zh-CN"/>
              </w:rPr>
              <w:t>500</w:t>
            </w:r>
          </w:p>
        </w:tc>
        <w:tc>
          <w:tcPr>
            <w:tcW w:w="614"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101</w:t>
            </w:r>
            <w:r>
              <w:rPr>
                <w:rFonts w:hint="eastAsia" w:ascii="仿宋" w:hAnsi="仿宋" w:eastAsia="仿宋" w:cs="仿宋"/>
                <w:color w:val="auto"/>
                <w:sz w:val="21"/>
                <w:szCs w:val="21"/>
                <w:shd w:val="clear" w:color="auto" w:fill="auto"/>
              </w:rPr>
              <w:t>～</w:t>
            </w:r>
            <w:r>
              <w:rPr>
                <w:rFonts w:hint="eastAsia" w:ascii="仿宋" w:hAnsi="仿宋" w:eastAsia="仿宋" w:cs="仿宋"/>
                <w:color w:val="auto"/>
                <w:sz w:val="24"/>
                <w:szCs w:val="24"/>
                <w:shd w:val="clear" w:color="auto" w:fill="auto"/>
                <w:lang w:val="en-US" w:eastAsia="zh-CN"/>
              </w:rPr>
              <w:t>300</w:t>
            </w:r>
          </w:p>
        </w:tc>
        <w:tc>
          <w:tcPr>
            <w:tcW w:w="607"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51</w:t>
            </w:r>
            <w:r>
              <w:rPr>
                <w:rFonts w:hint="eastAsia" w:ascii="仿宋" w:hAnsi="仿宋" w:eastAsia="仿宋" w:cs="仿宋"/>
                <w:color w:val="auto"/>
                <w:sz w:val="21"/>
                <w:szCs w:val="21"/>
                <w:shd w:val="clear" w:color="auto" w:fill="auto"/>
              </w:rPr>
              <w:t>～</w:t>
            </w:r>
            <w:r>
              <w:rPr>
                <w:rFonts w:hint="eastAsia" w:ascii="仿宋" w:hAnsi="仿宋" w:eastAsia="仿宋" w:cs="仿宋"/>
                <w:color w:val="auto"/>
                <w:sz w:val="24"/>
                <w:szCs w:val="24"/>
                <w:shd w:val="clear" w:color="auto" w:fill="auto"/>
                <w:lang w:val="en-US" w:eastAsia="zh-CN"/>
              </w:rPr>
              <w:t>100</w:t>
            </w:r>
          </w:p>
        </w:tc>
        <w:tc>
          <w:tcPr>
            <w:tcW w:w="503"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25</w:t>
            </w:r>
            <w:r>
              <w:rPr>
                <w:rFonts w:hint="eastAsia" w:ascii="仿宋" w:hAnsi="仿宋" w:eastAsia="仿宋" w:cs="仿宋"/>
                <w:color w:val="auto"/>
                <w:sz w:val="21"/>
                <w:szCs w:val="21"/>
                <w:shd w:val="clear" w:color="auto" w:fill="auto"/>
              </w:rPr>
              <w:t>～</w:t>
            </w:r>
            <w:r>
              <w:rPr>
                <w:rFonts w:hint="eastAsia" w:ascii="仿宋" w:hAnsi="仿宋" w:eastAsia="仿宋" w:cs="仿宋"/>
                <w:color w:val="auto"/>
                <w:sz w:val="24"/>
                <w:szCs w:val="24"/>
                <w:shd w:val="clear" w:color="auto" w:fill="auto"/>
                <w:lang w:val="en-US" w:eastAsia="zh-CN"/>
              </w:rPr>
              <w:t>50</w:t>
            </w:r>
          </w:p>
        </w:tc>
        <w:tc>
          <w:tcPr>
            <w:tcW w:w="319"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&lt;25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机动车出入口数量（个）</w:t>
            </w:r>
          </w:p>
        </w:tc>
        <w:tc>
          <w:tcPr>
            <w:tcW w:w="560"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≥3</w:t>
            </w:r>
          </w:p>
        </w:tc>
        <w:tc>
          <w:tcPr>
            <w:tcW w:w="1341"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614"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607"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w:t>
            </w:r>
          </w:p>
        </w:tc>
        <w:tc>
          <w:tcPr>
            <w:tcW w:w="82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非居住建筑出入口车道数量（个）</w:t>
            </w:r>
          </w:p>
        </w:tc>
        <w:tc>
          <w:tcPr>
            <w:tcW w:w="560"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≥5</w:t>
            </w:r>
          </w:p>
        </w:tc>
        <w:tc>
          <w:tcPr>
            <w:tcW w:w="694"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≥4</w:t>
            </w:r>
          </w:p>
        </w:tc>
        <w:tc>
          <w:tcPr>
            <w:tcW w:w="647"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≥3</w:t>
            </w:r>
          </w:p>
        </w:tc>
        <w:tc>
          <w:tcPr>
            <w:tcW w:w="1221"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503"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319"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居住建筑出入口车道数量（条）</w:t>
            </w:r>
          </w:p>
        </w:tc>
        <w:tc>
          <w:tcPr>
            <w:tcW w:w="560"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≥3</w:t>
            </w:r>
          </w:p>
        </w:tc>
        <w:tc>
          <w:tcPr>
            <w:tcW w:w="694"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647"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1221" w:type="pct"/>
            <w:gridSpan w:val="2"/>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503"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w:t>
            </w:r>
          </w:p>
        </w:tc>
        <w:tc>
          <w:tcPr>
            <w:tcW w:w="319" w:type="pct"/>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w:t>
            </w:r>
          </w:p>
        </w:tc>
      </w:tr>
    </w:tbl>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6、机动车停车场（库）车位指标，机动车以小型汽车为计算当量，各类机动车辆与小型汽车停车位的换算系数为；微型汽车：0.7，中型汽车：2.0，大型汽车：2.5，铰接车：3.5。建筑物按配建指标计算的车位数，尾数不足1个的以1个计算。</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default"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7、住宅小区配建电动汽车充电设备为自用时，应以100%停车位为基数，按30%的停车位配建充电设施，按100%的停车位预留充电设施建设安装条件；新建公共建筑区域内配建电动汽车充电设施宜按30%的停车位配建充电设施，按100%的停车位预留充电设施建设安装条件，并设计建设到位。</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8、当地下停车库少于二层时原则上不得设置机械式停车库。因用地条件限制，当地下车库达到二层时仍无法满足配建指标要求的，可设置机械式停车库。</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9、新建、拟建建筑物建筑面积≥500平方米的，应按本规定的要求设置机动车停车场（库），建筑面积＜500平方米的建筑物，可结合建筑退让距离设置地面停车位。</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10、扩建、改建的建筑物总建筑面积≥500平方米的，其建筑面积增加部分按本规定配建停车场（库），原建筑配建停车设施不足的，应在改、扩建的同时按车位差额数的50%予以补建。</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11、严禁占用规划批准为公共绿地和城市道路用地的地面和地上空间设置停车设施，公共绿地的地下空间在经自然资源主管部门批准并满足相关要求的前提下可适当设置地下社会停车库并对外开放。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12、建设项目配建的停车设施应设置在该建设项目规划用地范围以内；统一规划分期建设的建设项目和被城市道路分割的建设用地，各分期工程或各地块（按城市道路划分）的停车位配建数量，原则上应分别满足各分期工程或各地块的停车场（库）配建指标要求。因建设用地或容量指标等问题确实无法满足上述要求时，经相关部门批准，各分期工程或各地块在满足本规定配建停车位数量80%的前提下，其余20%的配建停车位可结合实际情况在相邻用地内总量平衡布局。</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13、</w:t>
      </w:r>
      <w:r>
        <w:rPr>
          <w:rFonts w:hint="eastAsia" w:ascii="仿宋" w:hAnsi="仿宋" w:eastAsia="仿宋" w:cs="仿宋"/>
          <w:color w:val="auto"/>
          <w:sz w:val="30"/>
          <w:szCs w:val="30"/>
          <w:shd w:val="clear" w:color="auto" w:fill="auto"/>
          <w:lang w:val="en-US" w:eastAsia="zh-CN"/>
        </w:rPr>
        <w:t>居住建筑配建的停车库的子母车位按2个车位计算，一个微型车位按0.7个有效车位计算。换算为有效车位后，子车位总数不得超过应配建车位总量的5%，子车位与微型车位的总数不得超过应配建车位总量的10%。</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14、</w:t>
      </w:r>
      <w:r>
        <w:rPr>
          <w:rFonts w:hint="eastAsia" w:ascii="仿宋" w:hAnsi="仿宋" w:eastAsia="仿宋" w:cs="仿宋"/>
          <w:color w:val="auto"/>
          <w:sz w:val="30"/>
          <w:szCs w:val="30"/>
          <w:shd w:val="clear" w:color="auto" w:fill="auto"/>
          <w:lang w:val="en-US" w:eastAsia="zh-CN"/>
        </w:rPr>
        <w:t>建筑物的使用性质发生变化时，须按新的使用性质配建停车位并向原审批机关报审并获得批准。</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15、</w:t>
      </w:r>
      <w:r>
        <w:rPr>
          <w:rFonts w:hint="eastAsia" w:ascii="仿宋" w:hAnsi="仿宋" w:eastAsia="仿宋" w:cs="仿宋"/>
          <w:color w:val="auto"/>
          <w:sz w:val="30"/>
          <w:szCs w:val="30"/>
          <w:shd w:val="clear" w:color="auto" w:fill="auto"/>
          <w:lang w:val="en-US" w:eastAsia="zh-CN"/>
        </w:rPr>
        <w:t>各类公共建筑的配建停车设施建成后应面向社会开放使用。停车场（库）需要办理车辆出入手续的，其出入口应设候车道，候车道长度不应少于15米。鼓励非公共建筑配建停车场（库）对社会开放。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16、</w:t>
      </w:r>
      <w:r>
        <w:rPr>
          <w:rFonts w:hint="eastAsia" w:ascii="仿宋" w:hAnsi="仿宋" w:eastAsia="仿宋" w:cs="仿宋"/>
          <w:color w:val="auto"/>
          <w:sz w:val="30"/>
          <w:szCs w:val="30"/>
          <w:shd w:val="clear" w:color="auto" w:fill="auto"/>
          <w:lang w:val="en-US" w:eastAsia="zh-CN"/>
        </w:rPr>
        <w:t>混合功能的综合性建筑，应按各使用性质部分的建筑面积比例综合确定配建停车位。</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17、机动车标准车位配建指标：</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表5.7各类建筑停车位配建指标表</w:t>
      </w:r>
    </w:p>
    <w:tbl>
      <w:tblPr>
        <w:tblStyle w:val="12"/>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9"/>
        <w:gridCol w:w="473"/>
        <w:gridCol w:w="245"/>
        <w:gridCol w:w="2045"/>
        <w:gridCol w:w="2615"/>
        <w:gridCol w:w="1072"/>
        <w:gridCol w:w="889"/>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 w:hRule="atLeast"/>
          <w:tblHeader/>
          <w:jc w:val="center"/>
        </w:trPr>
        <w:tc>
          <w:tcPr>
            <w:tcW w:w="3502" w:type="dxa"/>
            <w:gridSpan w:val="4"/>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建筑物类型</w:t>
            </w:r>
          </w:p>
        </w:tc>
        <w:tc>
          <w:tcPr>
            <w:tcW w:w="261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计算单位</w:t>
            </w:r>
          </w:p>
        </w:tc>
        <w:tc>
          <w:tcPr>
            <w:tcW w:w="196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机动车配建标准</w:t>
            </w:r>
          </w:p>
        </w:tc>
        <w:tc>
          <w:tcPr>
            <w:tcW w:w="1222"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非机动车配建标准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tblHeader/>
          <w:jc w:val="center"/>
        </w:trPr>
        <w:tc>
          <w:tcPr>
            <w:tcW w:w="3502" w:type="dxa"/>
            <w:gridSpan w:val="4"/>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61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旧区</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新区</w:t>
            </w:r>
          </w:p>
        </w:tc>
        <w:tc>
          <w:tcPr>
            <w:tcW w:w="1222"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住宅</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低层住宅</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车位/户建筑面积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2</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jc w:val="center"/>
        </w:trPr>
        <w:tc>
          <w:tcPr>
            <w:tcW w:w="73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c>
          <w:tcPr>
            <w:tcW w:w="473"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普通住宅</w:t>
            </w:r>
          </w:p>
        </w:tc>
        <w:tc>
          <w:tcPr>
            <w:tcW w:w="2290"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建筑面积≥150㎡</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车位/户建筑面积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6" w:hRule="atLeast"/>
          <w:jc w:val="center"/>
        </w:trPr>
        <w:tc>
          <w:tcPr>
            <w:tcW w:w="73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c>
          <w:tcPr>
            <w:tcW w:w="473"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p>
        </w:tc>
        <w:tc>
          <w:tcPr>
            <w:tcW w:w="2290"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90㎡≤建筑面积＜150㎡</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车位/户建筑面积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1.3</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c>
          <w:tcPr>
            <w:tcW w:w="473"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p>
        </w:tc>
        <w:tc>
          <w:tcPr>
            <w:tcW w:w="2290"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建筑面积＜90㎡</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车位/户建筑面积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保障性住房</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color w:val="auto"/>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(廉租房、公租房、经济适用房)</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车位/户建筑面积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0.3</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0.4</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公寓</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办公类</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商业办公</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县级及县级以上政府机关办公</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县级以下政府机关办公</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0.3</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行政办公的执法、服务窗口单位</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1.8</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文体类</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博物馆、群艺馆、科技馆、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图书馆、展览馆</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0.6</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文化活动中心</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718" w:type="dxa"/>
            <w:gridSpan w:val="2"/>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影剧</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院</w:t>
            </w:r>
          </w:p>
        </w:tc>
        <w:tc>
          <w:tcPr>
            <w:tcW w:w="20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剧场、市级电影院</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车位/100座</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3.2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3.5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718" w:type="dxa"/>
            <w:gridSpan w:val="2"/>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p>
        </w:tc>
        <w:tc>
          <w:tcPr>
            <w:tcW w:w="20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一般电影院</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车位/100座</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718" w:type="dxa"/>
            <w:gridSpan w:val="2"/>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体育</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设施</w:t>
            </w:r>
          </w:p>
        </w:tc>
        <w:tc>
          <w:tcPr>
            <w:tcW w:w="20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一类体育场馆</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车位/100座</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3.2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3.5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eastAsia="zh-CN"/>
              </w:rPr>
            </w:pPr>
            <w:r>
              <w:rPr>
                <w:rFonts w:hint="eastAsia" w:ascii="仿宋" w:hAnsi="仿宋" w:eastAsia="仿宋" w:cs="仿宋"/>
                <w:i w:val="0"/>
                <w:iCs w:val="0"/>
                <w:color w:val="auto"/>
                <w:sz w:val="24"/>
                <w:szCs w:val="24"/>
                <w:u w:val="none"/>
                <w:shd w:val="clear" w:color="auto" w:fill="auto"/>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718" w:type="dxa"/>
            <w:gridSpan w:val="2"/>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p>
        </w:tc>
        <w:tc>
          <w:tcPr>
            <w:tcW w:w="20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二类体育场馆</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车位/100座</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2.2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eastAsia="zh-CN"/>
              </w:rPr>
            </w:pPr>
            <w:r>
              <w:rPr>
                <w:rFonts w:hint="eastAsia" w:ascii="仿宋" w:hAnsi="仿宋" w:eastAsia="仿宋" w:cs="仿宋"/>
                <w:i w:val="0"/>
                <w:iCs w:val="0"/>
                <w:color w:val="auto"/>
                <w:sz w:val="24"/>
                <w:szCs w:val="24"/>
                <w:u w:val="none"/>
                <w:shd w:val="clear" w:color="auto" w:fill="auto"/>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教育类</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大中专院校</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车位/班</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4</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中学</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车位/班</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3.5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4</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小学、幼儿园</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车位/班</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3</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医疗类</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综合医院</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其他医院、诊疗所</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0.4</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疗养院</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0.4</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商业建筑</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商场、超市</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农贸市场</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0.6</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0.8</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餐饮、娱乐</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1.8</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宾馆、旅馆、招待所</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车位/客房</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0.6</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0.9</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交通枢纽</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火车站</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车位/高峰日每百旅客</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汽车站</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车位/高峰日每百旅客</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eastAsia="zh-CN"/>
              </w:rPr>
            </w:pPr>
            <w:r>
              <w:rPr>
                <w:rFonts w:hint="eastAsia" w:ascii="仿宋" w:hAnsi="仿宋" w:eastAsia="仿宋" w:cs="仿宋"/>
                <w:i w:val="0"/>
                <w:iCs w:val="0"/>
                <w:color w:val="auto"/>
                <w:sz w:val="24"/>
                <w:szCs w:val="24"/>
                <w:u w:val="none"/>
                <w:shd w:val="clear" w:color="auto" w:fill="auto"/>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机场</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车位/高峰日每百旅客</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4</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4</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color w:val="auto"/>
                <w:sz w:val="24"/>
                <w:szCs w:val="24"/>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客运码头</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车位/高峰日每百旅客</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kern w:val="0"/>
                <w:sz w:val="24"/>
                <w:szCs w:val="24"/>
                <w:u w:val="none"/>
                <w:shd w:val="clear" w:color="auto" w:fill="auto"/>
                <w:lang w:val="en-US" w:eastAsia="zh-CN" w:bidi="ar"/>
              </w:rPr>
            </w:pPr>
            <w:r>
              <w:rPr>
                <w:rFonts w:hint="eastAsia" w:ascii="仿宋" w:hAnsi="仿宋" w:eastAsia="仿宋" w:cs="仿宋"/>
                <w:i w:val="0"/>
                <w:iCs w:val="0"/>
                <w:color w:val="auto"/>
                <w:kern w:val="0"/>
                <w:sz w:val="24"/>
                <w:szCs w:val="24"/>
                <w:u w:val="none"/>
                <w:shd w:val="clear" w:color="auto" w:fill="auto"/>
                <w:lang w:val="en-US" w:eastAsia="zh-CN" w:bidi="ar"/>
              </w:rPr>
              <w:t>2</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9"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公交枢纽站</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车位/高峰日每百旅客</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游览场所</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旅游区</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车位/公顷游览面积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1.5</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城市公园</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车位/公顷游览面积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8</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10</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工业</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普通工业厂房</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0.2</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0.3</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仓储</w:t>
            </w: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创新型产业用房</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0.5</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0.6</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739"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仿宋" w:hAnsi="仿宋" w:eastAsia="仿宋" w:cs="仿宋"/>
                <w:i w:val="0"/>
                <w:iCs w:val="0"/>
                <w:color w:val="auto"/>
                <w:sz w:val="24"/>
                <w:szCs w:val="24"/>
                <w:u w:val="none"/>
                <w:shd w:val="clear" w:color="auto" w:fill="auto"/>
              </w:rPr>
            </w:pPr>
          </w:p>
        </w:tc>
        <w:tc>
          <w:tcPr>
            <w:tcW w:w="2763"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物流仓储</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车位/100㎡建筑面积</w:t>
            </w:r>
          </w:p>
        </w:tc>
        <w:tc>
          <w:tcPr>
            <w:tcW w:w="10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 w:hAnsi="仿宋" w:eastAsia="仿宋" w:cs="仿宋"/>
                <w:i w:val="0"/>
                <w:iCs w:val="0"/>
                <w:color w:val="auto"/>
                <w:sz w:val="24"/>
                <w:szCs w:val="24"/>
                <w:u w:val="none"/>
                <w:shd w:val="clear" w:color="auto" w:fill="auto"/>
                <w:lang w:val="en-US"/>
              </w:rPr>
            </w:pPr>
            <w:r>
              <w:rPr>
                <w:rFonts w:hint="eastAsia" w:ascii="仿宋" w:hAnsi="仿宋" w:eastAsia="仿宋" w:cs="仿宋"/>
                <w:i w:val="0"/>
                <w:iCs w:val="0"/>
                <w:color w:val="auto"/>
                <w:kern w:val="0"/>
                <w:sz w:val="24"/>
                <w:szCs w:val="24"/>
                <w:u w:val="none"/>
                <w:shd w:val="clear" w:color="auto" w:fill="auto"/>
                <w:lang w:val="en-US" w:eastAsia="zh-CN" w:bidi="ar"/>
              </w:rPr>
              <w:t>0.6</w:t>
            </w:r>
          </w:p>
        </w:tc>
        <w:tc>
          <w:tcPr>
            <w:tcW w:w="88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0.7</w:t>
            </w:r>
          </w:p>
        </w:tc>
        <w:tc>
          <w:tcPr>
            <w:tcW w:w="122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auto"/>
                <w:sz w:val="24"/>
                <w:szCs w:val="24"/>
                <w:u w:val="none"/>
                <w:shd w:val="clear" w:color="auto" w:fill="auto"/>
              </w:rPr>
            </w:pPr>
            <w:r>
              <w:rPr>
                <w:rFonts w:hint="eastAsia" w:ascii="仿宋" w:hAnsi="仿宋" w:eastAsia="仿宋" w:cs="仿宋"/>
                <w:i w:val="0"/>
                <w:iCs w:val="0"/>
                <w:color w:val="auto"/>
                <w:kern w:val="0"/>
                <w:sz w:val="24"/>
                <w:szCs w:val="24"/>
                <w:u w:val="none"/>
                <w:shd w:val="clear" w:color="auto" w:fill="auto"/>
                <w:lang w:val="en-US" w:eastAsia="zh-CN" w:bidi="ar"/>
              </w:rPr>
              <w:t>0.2</w:t>
            </w:r>
          </w:p>
        </w:tc>
      </w:tr>
    </w:tbl>
    <w:p>
      <w:pPr>
        <w:pStyle w:val="6"/>
        <w:keepNext w:val="0"/>
        <w:keepLines w:val="0"/>
        <w:pageBreakBefore w:val="0"/>
        <w:widowControl w:val="0"/>
        <w:kinsoku/>
        <w:wordWrap/>
        <w:overflowPunct/>
        <w:topLinePunct w:val="0"/>
        <w:autoSpaceDE/>
        <w:autoSpaceDN/>
        <w:bidi w:val="0"/>
        <w:adjustRightInd/>
        <w:snapToGrid/>
        <w:spacing w:before="0" w:line="240" w:lineRule="auto"/>
        <w:ind w:left="0" w:leftChars="0" w:right="181"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eastAsia="zh-CN"/>
        </w:rPr>
        <w:t>注</w:t>
      </w:r>
      <w:r>
        <w:rPr>
          <w:rFonts w:hint="eastAsia" w:ascii="仿宋" w:hAnsi="仿宋" w:eastAsia="仿宋" w:cs="仿宋"/>
          <w:color w:val="auto"/>
          <w:sz w:val="21"/>
          <w:szCs w:val="21"/>
          <w:shd w:val="clear" w:color="auto" w:fill="auto"/>
          <w:lang w:val="en-US" w:eastAsia="zh-CN"/>
        </w:rPr>
        <w:t>：1.低层住宅指1～3层的住宅建筑；普通住宅指低层住宅，保障性住房和公寓以外的其他类型住宅建筑；保障性住房是指政府为</w:t>
      </w:r>
      <w:r>
        <w:rPr>
          <w:rFonts w:hint="eastAsia" w:ascii="仿宋" w:hAnsi="仿宋" w:eastAsia="仿宋" w:cs="仿宋"/>
          <w:color w:val="auto"/>
          <w:sz w:val="21"/>
          <w:szCs w:val="21"/>
          <w:shd w:val="clear" w:color="auto" w:fill="auto"/>
          <w:lang w:val="en-US" w:eastAsia="zh-CN"/>
        </w:rPr>
        <w:fldChar w:fldCharType="begin"/>
      </w:r>
      <w:r>
        <w:rPr>
          <w:rFonts w:hint="eastAsia" w:ascii="仿宋" w:hAnsi="仿宋" w:eastAsia="仿宋" w:cs="仿宋"/>
          <w:color w:val="auto"/>
          <w:sz w:val="21"/>
          <w:szCs w:val="21"/>
          <w:shd w:val="clear" w:color="auto" w:fill="auto"/>
          <w:lang w:val="en-US" w:eastAsia="zh-CN"/>
        </w:rPr>
        <w:instrText xml:space="preserve"> HYPERLINK "https://baike.baidu.com/item/%E4%B8%AD%E4%BD%8E%E6%94%B6%E5%85%A5/6168663?fromModule=lemma_inlink" \t "https://baike.baidu.com/item/%E4%BF%9D%E9%9A%9C%E6%80%A7%E4%BD%8F%E6%88%BF/_blank" </w:instrText>
      </w:r>
      <w:r>
        <w:rPr>
          <w:rFonts w:hint="eastAsia" w:ascii="仿宋" w:hAnsi="仿宋" w:eastAsia="仿宋" w:cs="仿宋"/>
          <w:color w:val="auto"/>
          <w:sz w:val="21"/>
          <w:szCs w:val="21"/>
          <w:shd w:val="clear" w:color="auto" w:fill="auto"/>
          <w:lang w:val="en-US" w:eastAsia="zh-CN"/>
        </w:rPr>
        <w:fldChar w:fldCharType="separate"/>
      </w:r>
      <w:r>
        <w:rPr>
          <w:rFonts w:hint="eastAsia" w:ascii="仿宋" w:hAnsi="仿宋" w:eastAsia="仿宋" w:cs="仿宋"/>
          <w:color w:val="auto"/>
          <w:sz w:val="21"/>
          <w:szCs w:val="21"/>
          <w:shd w:val="clear" w:color="auto" w:fill="auto"/>
          <w:lang w:val="en-US" w:eastAsia="zh-CN"/>
        </w:rPr>
        <w:t>中低收入</w:t>
      </w:r>
      <w:r>
        <w:rPr>
          <w:rFonts w:hint="eastAsia" w:ascii="仿宋" w:hAnsi="仿宋" w:eastAsia="仿宋" w:cs="仿宋"/>
          <w:color w:val="auto"/>
          <w:sz w:val="21"/>
          <w:szCs w:val="21"/>
          <w:shd w:val="clear" w:color="auto" w:fill="auto"/>
          <w:lang w:val="en-US" w:eastAsia="zh-CN"/>
        </w:rPr>
        <w:fldChar w:fldCharType="end"/>
      </w:r>
      <w:r>
        <w:rPr>
          <w:rFonts w:hint="eastAsia" w:ascii="仿宋" w:hAnsi="仿宋" w:eastAsia="仿宋" w:cs="仿宋"/>
          <w:color w:val="auto"/>
          <w:sz w:val="21"/>
          <w:szCs w:val="21"/>
          <w:shd w:val="clear" w:color="auto" w:fill="auto"/>
          <w:lang w:val="en-US" w:eastAsia="zh-CN"/>
        </w:rPr>
        <w:t>住房困难家庭所提供的限定标准、限定价格或租金的住房，一般由</w:t>
      </w:r>
      <w:r>
        <w:rPr>
          <w:rFonts w:hint="eastAsia" w:ascii="仿宋" w:hAnsi="仿宋" w:eastAsia="仿宋" w:cs="仿宋"/>
          <w:color w:val="auto"/>
          <w:sz w:val="21"/>
          <w:szCs w:val="21"/>
          <w:shd w:val="clear" w:color="auto" w:fill="auto"/>
          <w:lang w:val="en-US" w:eastAsia="zh-CN"/>
        </w:rPr>
        <w:fldChar w:fldCharType="begin"/>
      </w:r>
      <w:r>
        <w:rPr>
          <w:rFonts w:hint="eastAsia" w:ascii="仿宋" w:hAnsi="仿宋" w:eastAsia="仿宋" w:cs="仿宋"/>
          <w:color w:val="auto"/>
          <w:sz w:val="21"/>
          <w:szCs w:val="21"/>
          <w:shd w:val="clear" w:color="auto" w:fill="auto"/>
          <w:lang w:val="en-US" w:eastAsia="zh-CN"/>
        </w:rPr>
        <w:instrText xml:space="preserve"> HYPERLINK "https://baike.baidu.com/item/%E5%BB%89%E7%A7%9F%E4%BD%8F%E6%88%BF/577427?fromModule=lemma_inlink" \t "https://baike.baidu.com/item/%E4%BF%9D%E9%9A%9C%E6%80%A7%E4%BD%8F%E6%88%BF/_blank" </w:instrText>
      </w:r>
      <w:r>
        <w:rPr>
          <w:rFonts w:hint="eastAsia" w:ascii="仿宋" w:hAnsi="仿宋" w:eastAsia="仿宋" w:cs="仿宋"/>
          <w:color w:val="auto"/>
          <w:sz w:val="21"/>
          <w:szCs w:val="21"/>
          <w:shd w:val="clear" w:color="auto" w:fill="auto"/>
          <w:lang w:val="en-US" w:eastAsia="zh-CN"/>
        </w:rPr>
        <w:fldChar w:fldCharType="separate"/>
      </w:r>
      <w:r>
        <w:rPr>
          <w:rFonts w:hint="eastAsia" w:ascii="仿宋" w:hAnsi="仿宋" w:eastAsia="仿宋" w:cs="仿宋"/>
          <w:color w:val="auto"/>
          <w:sz w:val="21"/>
          <w:szCs w:val="21"/>
          <w:shd w:val="clear" w:color="auto" w:fill="auto"/>
          <w:lang w:val="en-US" w:eastAsia="zh-CN"/>
        </w:rPr>
        <w:t>廉租住房</w:t>
      </w:r>
      <w:r>
        <w:rPr>
          <w:rFonts w:hint="eastAsia" w:ascii="仿宋" w:hAnsi="仿宋" w:eastAsia="仿宋" w:cs="仿宋"/>
          <w:color w:val="auto"/>
          <w:sz w:val="21"/>
          <w:szCs w:val="21"/>
          <w:shd w:val="clear" w:color="auto" w:fill="auto"/>
          <w:lang w:val="en-US" w:eastAsia="zh-CN"/>
        </w:rPr>
        <w:fldChar w:fldCharType="end"/>
      </w:r>
      <w:r>
        <w:rPr>
          <w:rFonts w:hint="eastAsia" w:ascii="仿宋" w:hAnsi="仿宋" w:eastAsia="仿宋" w:cs="仿宋"/>
          <w:color w:val="auto"/>
          <w:sz w:val="21"/>
          <w:szCs w:val="21"/>
          <w:shd w:val="clear" w:color="auto" w:fill="auto"/>
          <w:lang w:val="en-US" w:eastAsia="zh-CN"/>
        </w:rPr>
        <w:t>、</w:t>
      </w:r>
      <w:r>
        <w:rPr>
          <w:rFonts w:hint="eastAsia" w:ascii="仿宋" w:hAnsi="仿宋" w:eastAsia="仿宋" w:cs="仿宋"/>
          <w:color w:val="auto"/>
          <w:sz w:val="21"/>
          <w:szCs w:val="21"/>
          <w:shd w:val="clear" w:color="auto" w:fill="auto"/>
          <w:lang w:val="en-US" w:eastAsia="zh-CN"/>
        </w:rPr>
        <w:fldChar w:fldCharType="begin"/>
      </w:r>
      <w:r>
        <w:rPr>
          <w:rFonts w:hint="eastAsia" w:ascii="仿宋" w:hAnsi="仿宋" w:eastAsia="仿宋" w:cs="仿宋"/>
          <w:color w:val="auto"/>
          <w:sz w:val="21"/>
          <w:szCs w:val="21"/>
          <w:shd w:val="clear" w:color="auto" w:fill="auto"/>
          <w:lang w:val="en-US" w:eastAsia="zh-CN"/>
        </w:rPr>
        <w:instrText xml:space="preserve"> HYPERLINK "https://baike.baidu.com/item/%E7%BB%8F%E6%B5%8E%E9%80%82%E7%94%A8%E4%BD%8F%E6%88%BF/577213?fromModule=lemma_inlink" \t "https://baike.baidu.com/item/%E4%BF%9D%E9%9A%9C%E6%80%A7%E4%BD%8F%E6%88%BF/_blank" </w:instrText>
      </w:r>
      <w:r>
        <w:rPr>
          <w:rFonts w:hint="eastAsia" w:ascii="仿宋" w:hAnsi="仿宋" w:eastAsia="仿宋" w:cs="仿宋"/>
          <w:color w:val="auto"/>
          <w:sz w:val="21"/>
          <w:szCs w:val="21"/>
          <w:shd w:val="clear" w:color="auto" w:fill="auto"/>
          <w:lang w:val="en-US" w:eastAsia="zh-CN"/>
        </w:rPr>
        <w:fldChar w:fldCharType="separate"/>
      </w:r>
      <w:r>
        <w:rPr>
          <w:rFonts w:hint="eastAsia" w:ascii="仿宋" w:hAnsi="仿宋" w:eastAsia="仿宋" w:cs="仿宋"/>
          <w:color w:val="auto"/>
          <w:sz w:val="21"/>
          <w:szCs w:val="21"/>
          <w:shd w:val="clear" w:color="auto" w:fill="auto"/>
          <w:lang w:val="en-US" w:eastAsia="zh-CN"/>
        </w:rPr>
        <w:t>经济适用住房</w:t>
      </w:r>
      <w:r>
        <w:rPr>
          <w:rFonts w:hint="eastAsia" w:ascii="仿宋" w:hAnsi="仿宋" w:eastAsia="仿宋" w:cs="仿宋"/>
          <w:color w:val="auto"/>
          <w:sz w:val="21"/>
          <w:szCs w:val="21"/>
          <w:shd w:val="clear" w:color="auto" w:fill="auto"/>
          <w:lang w:val="en-US" w:eastAsia="zh-CN"/>
        </w:rPr>
        <w:fldChar w:fldCharType="end"/>
      </w:r>
      <w:r>
        <w:rPr>
          <w:rFonts w:hint="eastAsia" w:ascii="仿宋" w:hAnsi="仿宋" w:eastAsia="仿宋" w:cs="仿宋"/>
          <w:color w:val="auto"/>
          <w:sz w:val="21"/>
          <w:szCs w:val="21"/>
          <w:shd w:val="clear" w:color="auto" w:fill="auto"/>
          <w:lang w:val="en-US" w:eastAsia="zh-CN"/>
        </w:rPr>
        <w:t>、</w:t>
      </w:r>
      <w:r>
        <w:rPr>
          <w:rFonts w:hint="eastAsia" w:ascii="仿宋" w:hAnsi="仿宋" w:eastAsia="仿宋" w:cs="仿宋"/>
          <w:color w:val="auto"/>
          <w:sz w:val="21"/>
          <w:szCs w:val="21"/>
          <w:shd w:val="clear" w:color="auto" w:fill="auto"/>
          <w:lang w:val="en-US" w:eastAsia="zh-CN"/>
        </w:rPr>
        <w:fldChar w:fldCharType="begin"/>
      </w:r>
      <w:r>
        <w:rPr>
          <w:rFonts w:hint="eastAsia" w:ascii="仿宋" w:hAnsi="仿宋" w:eastAsia="仿宋" w:cs="仿宋"/>
          <w:color w:val="auto"/>
          <w:sz w:val="21"/>
          <w:szCs w:val="21"/>
          <w:shd w:val="clear" w:color="auto" w:fill="auto"/>
          <w:lang w:val="en-US" w:eastAsia="zh-CN"/>
        </w:rPr>
        <w:instrText xml:space="preserve"> HYPERLINK "https://baike.baidu.com/item/%E6%94%BF%E7%AD%96%E6%80%A7%E7%A7%9F%E8%B5%81%E4%BD%8F%E6%88%BF/8537425?fromModule=lemma_inlink" \t "https://baike.baidu.com/item/%E4%BF%9D%E9%9A%9C%E6%80%A7%E4%BD%8F%E6%88%BF/_blank" </w:instrText>
      </w:r>
      <w:r>
        <w:rPr>
          <w:rFonts w:hint="eastAsia" w:ascii="仿宋" w:hAnsi="仿宋" w:eastAsia="仿宋" w:cs="仿宋"/>
          <w:color w:val="auto"/>
          <w:sz w:val="21"/>
          <w:szCs w:val="21"/>
          <w:shd w:val="clear" w:color="auto" w:fill="auto"/>
          <w:lang w:val="en-US" w:eastAsia="zh-CN"/>
        </w:rPr>
        <w:fldChar w:fldCharType="separate"/>
      </w:r>
      <w:r>
        <w:rPr>
          <w:rFonts w:hint="eastAsia" w:ascii="仿宋" w:hAnsi="仿宋" w:eastAsia="仿宋" w:cs="仿宋"/>
          <w:color w:val="auto"/>
          <w:sz w:val="21"/>
          <w:szCs w:val="21"/>
          <w:shd w:val="clear" w:color="auto" w:fill="auto"/>
          <w:lang w:val="en-US" w:eastAsia="zh-CN"/>
        </w:rPr>
        <w:t>政策性租赁住房</w:t>
      </w:r>
      <w:r>
        <w:rPr>
          <w:rFonts w:hint="eastAsia" w:ascii="仿宋" w:hAnsi="仿宋" w:eastAsia="仿宋" w:cs="仿宋"/>
          <w:color w:val="auto"/>
          <w:sz w:val="21"/>
          <w:szCs w:val="21"/>
          <w:shd w:val="clear" w:color="auto" w:fill="auto"/>
          <w:lang w:val="en-US" w:eastAsia="zh-CN"/>
        </w:rPr>
        <w:fldChar w:fldCharType="end"/>
      </w:r>
      <w:r>
        <w:rPr>
          <w:rFonts w:hint="eastAsia" w:ascii="仿宋" w:hAnsi="仿宋" w:eastAsia="仿宋" w:cs="仿宋"/>
          <w:color w:val="auto"/>
          <w:sz w:val="21"/>
          <w:szCs w:val="21"/>
          <w:shd w:val="clear" w:color="auto" w:fill="auto"/>
          <w:lang w:val="en-US" w:eastAsia="zh-CN"/>
        </w:rPr>
        <w:t>、定向安置房等构成。</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leftChars="0" w:right="181"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w:t>
      </w:r>
      <w:r>
        <w:rPr>
          <w:rFonts w:hint="eastAsia" w:ascii="仿宋" w:hAnsi="仿宋" w:eastAsia="仿宋" w:cs="仿宋"/>
          <w:color w:val="auto"/>
          <w:sz w:val="21"/>
          <w:szCs w:val="21"/>
          <w:shd w:val="clear" w:color="auto" w:fill="auto"/>
        </w:rPr>
        <w:t>商住综合楼的配建停车指标也可按商业与住宅分别计算后累计确定。</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leftChars="0" w:right="181" w:firstLine="420" w:firstLineChars="200"/>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3.</w:t>
      </w:r>
      <w:r>
        <w:rPr>
          <w:rFonts w:hint="eastAsia" w:ascii="仿宋" w:hAnsi="仿宋" w:eastAsia="仿宋" w:cs="仿宋"/>
          <w:color w:val="auto"/>
          <w:sz w:val="21"/>
          <w:szCs w:val="21"/>
          <w:shd w:val="clear" w:color="auto" w:fill="auto"/>
        </w:rPr>
        <w:t>新建幼儿园、小学应在自身有效用地范围内</w:t>
      </w:r>
      <w:r>
        <w:rPr>
          <w:rFonts w:hint="eastAsia" w:ascii="仿宋" w:hAnsi="仿宋" w:eastAsia="仿宋" w:cs="仿宋"/>
          <w:color w:val="auto"/>
          <w:sz w:val="21"/>
          <w:szCs w:val="21"/>
          <w:shd w:val="clear" w:color="auto" w:fill="auto"/>
          <w:lang w:eastAsia="zh-CN"/>
        </w:rPr>
        <w:t>（</w:t>
      </w:r>
      <w:r>
        <w:rPr>
          <w:rFonts w:hint="eastAsia" w:ascii="仿宋" w:hAnsi="仿宋" w:eastAsia="仿宋" w:cs="仿宋"/>
          <w:color w:val="auto"/>
          <w:sz w:val="21"/>
          <w:szCs w:val="21"/>
          <w:shd w:val="clear" w:color="auto" w:fill="auto"/>
        </w:rPr>
        <w:t>校门外</w:t>
      </w:r>
      <w:r>
        <w:rPr>
          <w:rFonts w:hint="eastAsia" w:ascii="仿宋" w:hAnsi="仿宋" w:eastAsia="仿宋" w:cs="仿宋"/>
          <w:color w:val="auto"/>
          <w:sz w:val="21"/>
          <w:szCs w:val="21"/>
          <w:shd w:val="clear" w:color="auto" w:fill="auto"/>
          <w:lang w:eastAsia="zh-CN"/>
        </w:rPr>
        <w:t>）</w:t>
      </w:r>
      <w:r>
        <w:rPr>
          <w:rFonts w:hint="eastAsia" w:ascii="仿宋" w:hAnsi="仿宋" w:eastAsia="仿宋" w:cs="仿宋"/>
          <w:color w:val="auto"/>
          <w:sz w:val="21"/>
          <w:szCs w:val="21"/>
          <w:shd w:val="clear" w:color="auto" w:fill="auto"/>
        </w:rPr>
        <w:t>设置不少于200平方米、中学不少于300平方米的地面集散用地，并对外开放供接送车辆临时停放的配建要求。</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leftChars="0" w:right="181" w:firstLine="420" w:firstLineChars="200"/>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4.</w:t>
      </w:r>
      <w:r>
        <w:rPr>
          <w:rFonts w:hint="eastAsia" w:ascii="仿宋" w:hAnsi="仿宋" w:eastAsia="仿宋" w:cs="仿宋"/>
          <w:color w:val="auto"/>
          <w:sz w:val="21"/>
          <w:szCs w:val="21"/>
          <w:shd w:val="clear" w:color="auto" w:fill="auto"/>
        </w:rPr>
        <w:t>工厂和仓储用地中的办公、调度、展示等建筑须在满足上表厂房和仓储停车位配置的基础上按照相应类别建筑的配建指标另行增加停车位的配置。</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leftChars="0" w:right="181" w:firstLine="420" w:firstLineChars="200"/>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5.</w:t>
      </w:r>
      <w:r>
        <w:rPr>
          <w:rFonts w:hint="eastAsia" w:ascii="仿宋" w:hAnsi="仿宋" w:eastAsia="仿宋" w:cs="仿宋"/>
          <w:color w:val="auto"/>
          <w:sz w:val="21"/>
          <w:szCs w:val="21"/>
          <w:shd w:val="clear" w:color="auto" w:fill="auto"/>
        </w:rPr>
        <w:t>医院中的科研、办公建筑须在满足上表医院停车位配置的基础上按照办公类配建指标另行增加停车位的配置。</w:t>
      </w:r>
    </w:p>
    <w:p>
      <w:pPr>
        <w:pStyle w:val="6"/>
        <w:keepNext w:val="0"/>
        <w:keepLines w:val="0"/>
        <w:pageBreakBefore w:val="0"/>
        <w:widowControl w:val="0"/>
        <w:kinsoku/>
        <w:wordWrap/>
        <w:overflowPunct/>
        <w:topLinePunct w:val="0"/>
        <w:autoSpaceDE/>
        <w:autoSpaceDN/>
        <w:bidi w:val="0"/>
        <w:adjustRightInd/>
        <w:snapToGrid/>
        <w:spacing w:before="0" w:line="240" w:lineRule="auto"/>
        <w:ind w:left="0" w:leftChars="0" w:right="181" w:firstLine="420" w:firstLineChars="200"/>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6.</w:t>
      </w:r>
      <w:r>
        <w:rPr>
          <w:rFonts w:hint="eastAsia" w:ascii="仿宋" w:hAnsi="仿宋" w:eastAsia="仿宋" w:cs="仿宋"/>
          <w:color w:val="auto"/>
          <w:sz w:val="21"/>
          <w:szCs w:val="21"/>
          <w:shd w:val="clear" w:color="auto" w:fill="auto"/>
        </w:rPr>
        <w:t>一类体育场馆指大于15000座的体育场或大于4000座的体育馆</w:t>
      </w:r>
      <w:r>
        <w:rPr>
          <w:rFonts w:hint="eastAsia" w:ascii="仿宋" w:hAnsi="仿宋" w:eastAsia="仿宋" w:cs="仿宋"/>
          <w:color w:val="auto"/>
          <w:sz w:val="21"/>
          <w:szCs w:val="21"/>
          <w:shd w:val="clear" w:color="auto" w:fill="auto"/>
          <w:lang w:eastAsia="zh-CN"/>
        </w:rPr>
        <w:t>；</w:t>
      </w:r>
      <w:r>
        <w:rPr>
          <w:rFonts w:hint="eastAsia" w:ascii="仿宋" w:hAnsi="仿宋" w:eastAsia="仿宋" w:cs="仿宋"/>
          <w:color w:val="auto"/>
          <w:sz w:val="21"/>
          <w:szCs w:val="21"/>
          <w:shd w:val="clear" w:color="auto" w:fill="auto"/>
        </w:rPr>
        <w:t>二类体育场馆指小于15000座的体育场或小于4000座的体育馆。</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18、</w:t>
      </w:r>
      <w:r>
        <w:rPr>
          <w:rFonts w:hint="eastAsia" w:ascii="仿宋" w:hAnsi="仿宋" w:eastAsia="仿宋" w:cs="仿宋"/>
          <w:color w:val="auto"/>
          <w:sz w:val="30"/>
          <w:szCs w:val="30"/>
          <w:shd w:val="clear" w:color="auto" w:fill="auto"/>
          <w:lang w:val="en-US" w:eastAsia="zh-CN"/>
        </w:rPr>
        <w:t>机动车特殊停车位配建指标：</w:t>
      </w:r>
    </w:p>
    <w:p>
      <w:pPr>
        <w:pStyle w:val="6"/>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hint="eastAsia" w:ascii="仿宋" w:hAnsi="仿宋" w:eastAsia="仿宋" w:cs="仿宋"/>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表5.8</w:t>
      </w:r>
      <w:r>
        <w:rPr>
          <w:rFonts w:hint="eastAsia" w:ascii="仿宋" w:hAnsi="仿宋" w:eastAsia="仿宋" w:cs="仿宋"/>
          <w:b/>
          <w:bCs/>
          <w:color w:val="auto"/>
          <w:sz w:val="28"/>
          <w:szCs w:val="28"/>
          <w:shd w:val="clear" w:color="auto" w:fill="auto"/>
          <w:lang w:val="en-US" w:eastAsia="zh-CN"/>
        </w:rPr>
        <w:t>机动车特殊停车位配建指标表</w:t>
      </w:r>
    </w:p>
    <w:tbl>
      <w:tblPr>
        <w:tblStyle w:val="12"/>
        <w:tblW w:w="89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4829"/>
        <w:gridCol w:w="1714"/>
        <w:gridCol w:w="11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9" w:hRule="atLeast"/>
          <w:tblHeader/>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建筑类型</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装卸车位</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lang w:eastAsia="zh-CN"/>
              </w:rPr>
              <w:t>大中型客车位</w:t>
            </w:r>
          </w:p>
        </w:tc>
        <w:tc>
          <w:tcPr>
            <w:tcW w:w="116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无障碍车位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旅馆</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每10000㎡/平方米建筑面积设1个装卸车位，不足10000平方米的按1个设置。当装卸车位超过3个时，每增加20000平方米建筑面积设1个车位</w:t>
            </w:r>
            <w:r>
              <w:rPr>
                <w:rFonts w:hint="eastAsia" w:ascii="仿宋" w:hAnsi="仿宋" w:eastAsia="仿宋" w:cs="仿宋"/>
                <w:color w:val="auto"/>
                <w:sz w:val="24"/>
                <w:szCs w:val="24"/>
                <w:shd w:val="clear" w:color="auto" w:fill="auto"/>
                <w:lang w:eastAsia="zh-CN"/>
              </w:rPr>
              <w:t>。</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每200客房设置1个</w:t>
            </w:r>
            <w:r>
              <w:rPr>
                <w:rFonts w:hint="eastAsia" w:ascii="仿宋" w:hAnsi="仿宋" w:eastAsia="仿宋" w:cs="仿宋"/>
                <w:color w:val="auto"/>
                <w:sz w:val="24"/>
                <w:szCs w:val="24"/>
                <w:shd w:val="clear" w:color="auto" w:fill="auto"/>
                <w:lang w:eastAsia="zh-CN"/>
              </w:rPr>
              <w:t>大客车位</w:t>
            </w:r>
          </w:p>
        </w:tc>
        <w:tc>
          <w:tcPr>
            <w:tcW w:w="11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shd w:val="clear" w:color="auto" w:fil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kern w:val="2"/>
                <w:sz w:val="24"/>
                <w:szCs w:val="24"/>
                <w:shd w:val="clear" w:color="auto" w:fill="auto"/>
                <w:lang w:val="en-US" w:eastAsia="zh-CN" w:bidi="ar-SA"/>
              </w:rPr>
              <w:t>所有建筑类型每100小汽车车位设置1个无障碍车 位</w:t>
            </w:r>
          </w:p>
          <w:p>
            <w:pPr>
              <w:pStyle w:val="18"/>
              <w:rPr>
                <w:rFonts w:hint="eastAsia"/>
                <w:color w:val="auto"/>
                <w:shd w:val="clear" w:color="auto" w:fill="auto"/>
              </w:rPr>
            </w:pPr>
          </w:p>
          <w:p>
            <w:pPr>
              <w:rPr>
                <w:rFonts w:hint="eastAsia"/>
                <w:color w:val="auto"/>
                <w:shd w:val="clear" w:color="auto" w:fill="auto"/>
              </w:rPr>
            </w:pPr>
          </w:p>
          <w:p>
            <w:pPr>
              <w:rPr>
                <w:rFonts w:hint="eastAsia"/>
                <w:color w:val="auto"/>
                <w:shd w:val="clear" w:color="auto" w:fill="auto"/>
              </w:rPr>
            </w:pPr>
          </w:p>
          <w:p>
            <w:pPr>
              <w:pStyle w:val="18"/>
              <w:rPr>
                <w:rFonts w:hint="eastAsia" w:ascii="仿宋" w:hAnsi="仿宋" w:eastAsia="仿宋" w:cs="仿宋"/>
                <w:color w:val="auto"/>
                <w:sz w:val="24"/>
                <w:szCs w:val="24"/>
                <w:shd w:val="clear" w:color="auto" w:fill="auto"/>
              </w:rPr>
            </w:pPr>
          </w:p>
          <w:p>
            <w:pPr>
              <w:pStyle w:val="18"/>
              <w:rPr>
                <w:rFonts w:hint="eastAsia"/>
                <w:color w:val="auto"/>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办公</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每10000平方米建筑面积设1个装卸车位，不足10000平方米的按1个设置。当装卸车位超过3个时，每增加20000平方米建筑面积增设1个装卸车位。</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商业设施</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每5000平方米建筑面积设1个装卸车位，不足5000平方米的按1个装卸车位设置。当装卸车位超过3个时，每增加10000平方米建筑面积设1个装卸车位；当装卸车位超过6个时，每增加15000平方米建筑面积设1个装卸车位</w:t>
            </w:r>
            <w:r>
              <w:rPr>
                <w:rFonts w:hint="eastAsia" w:ascii="仿宋" w:hAnsi="仿宋" w:eastAsia="仿宋" w:cs="仿宋"/>
                <w:color w:val="auto"/>
                <w:sz w:val="24"/>
                <w:szCs w:val="24"/>
                <w:shd w:val="clear" w:color="auto" w:fill="auto"/>
                <w:lang w:eastAsia="zh-CN"/>
              </w:rPr>
              <w:t>。</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餐饮娱乐</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每10000平方米建筑面积设置1个，不足5000平方米建筑面积按1个设置。当装卸车位超过3个，每增加20000平方米建筑面积增设1个，且装卸车位不得临城市道路设置</w:t>
            </w:r>
            <w:r>
              <w:rPr>
                <w:rFonts w:hint="eastAsia" w:ascii="仿宋" w:hAnsi="仿宋" w:eastAsia="仿宋" w:cs="仿宋"/>
                <w:color w:val="auto"/>
                <w:sz w:val="24"/>
                <w:szCs w:val="24"/>
                <w:shd w:val="clear" w:color="auto" w:fill="auto"/>
                <w:lang w:eastAsia="zh-CN"/>
              </w:rPr>
              <w:t>。</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影剧院</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结合项目特殊情况，以场馆特殊要求，根据各自功能要求另行考虑</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每600座设置1个大</w:t>
            </w:r>
            <w:r>
              <w:rPr>
                <w:rFonts w:hint="eastAsia" w:ascii="仿宋" w:hAnsi="仿宋" w:eastAsia="仿宋" w:cs="仿宋"/>
                <w:color w:val="auto"/>
                <w:sz w:val="24"/>
                <w:szCs w:val="24"/>
                <w:shd w:val="clear" w:color="auto" w:fill="auto"/>
                <w:lang w:eastAsia="zh-CN"/>
              </w:rPr>
              <w:t>客车位</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专业批发市场</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每10个摊位设置1个装卸车位</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大型超市</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每5000平方米建筑面积设1个装卸车位，不足5000平方米的按1个装卸车位设置。当装卸车位超过3个时，每增加10000平方米建筑面积设1个装卸车位；当装卸车位超过6个时，每增加15000平方米建筑面积设1个装卸车位</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医疗</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每10000平方米建筑面积设1个装卸车位，不足10000平方米的按1个设置。当装卸车位超过3个时，每增加20000平方米建筑面积增设1个装卸车位。</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每100个床</w:t>
            </w:r>
            <w:r>
              <w:rPr>
                <w:rFonts w:hint="eastAsia" w:ascii="仿宋" w:hAnsi="仿宋" w:eastAsia="仿宋" w:cs="仿宋"/>
                <w:color w:val="auto"/>
                <w:sz w:val="24"/>
                <w:szCs w:val="24"/>
                <w:shd w:val="clear" w:color="auto" w:fill="auto"/>
                <w:lang w:eastAsia="zh-CN"/>
              </w:rPr>
              <w:t>设</w:t>
            </w:r>
            <w:r>
              <w:rPr>
                <w:rFonts w:hint="eastAsia" w:ascii="仿宋" w:hAnsi="仿宋" w:eastAsia="仿宋" w:cs="仿宋"/>
                <w:color w:val="auto"/>
                <w:sz w:val="24"/>
                <w:szCs w:val="24"/>
                <w:shd w:val="clear" w:color="auto" w:fill="auto"/>
              </w:rPr>
              <w:t>1个救护车位</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体育场馆</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结合项目特殊情况，以场馆特殊要求，根据各自功能要求另行考虑</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每600个座位设置1个</w:t>
            </w:r>
            <w:r>
              <w:rPr>
                <w:rFonts w:hint="eastAsia" w:ascii="仿宋" w:hAnsi="仿宋" w:eastAsia="仿宋" w:cs="仿宋"/>
                <w:color w:val="auto"/>
                <w:sz w:val="24"/>
                <w:szCs w:val="24"/>
                <w:shd w:val="clear" w:color="auto" w:fill="auto"/>
                <w:lang w:eastAsia="zh-CN"/>
              </w:rPr>
              <w:t>大客车位</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44" w:hRule="atLeas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展览馆、会议中心</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结合项目特殊情况，以场馆特殊要求，根据各自功能要求另行考虑</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每1000平方米建筑面积设置1个</w:t>
            </w:r>
            <w:r>
              <w:rPr>
                <w:rFonts w:hint="eastAsia" w:ascii="仿宋" w:hAnsi="仿宋" w:eastAsia="仿宋" w:cs="仿宋"/>
                <w:color w:val="auto"/>
                <w:sz w:val="24"/>
                <w:szCs w:val="24"/>
                <w:shd w:val="clear" w:color="auto" w:fill="auto"/>
                <w:lang w:eastAsia="zh-CN"/>
              </w:rPr>
              <w:t>大客车位</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幼儿园</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每5个班级设置1个</w:t>
            </w:r>
            <w:r>
              <w:rPr>
                <w:rFonts w:hint="eastAsia" w:ascii="仿宋" w:hAnsi="仿宋" w:eastAsia="仿宋" w:cs="仿宋"/>
                <w:color w:val="auto"/>
                <w:sz w:val="24"/>
                <w:szCs w:val="24"/>
                <w:shd w:val="clear" w:color="auto" w:fill="auto"/>
                <w:lang w:eastAsia="zh-CN"/>
              </w:rPr>
              <w:t>校车位</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交通建筑</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结合项目特殊情况，以场馆特殊要求，根据各自功能要求另行确定</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住宅</w:t>
            </w:r>
            <w:r>
              <w:rPr>
                <w:rFonts w:hint="eastAsia" w:ascii="仿宋" w:hAnsi="仿宋" w:eastAsia="仿宋" w:cs="仿宋"/>
                <w:color w:val="auto"/>
                <w:sz w:val="24"/>
                <w:szCs w:val="24"/>
                <w:shd w:val="clear" w:color="auto" w:fill="auto"/>
                <w:lang w:eastAsia="zh-CN"/>
              </w:rPr>
              <w:t>公寓</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val="en-US"/>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游览场所</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每10公顷用地设置1个</w:t>
            </w:r>
            <w:r>
              <w:rPr>
                <w:rFonts w:hint="eastAsia" w:ascii="仿宋" w:hAnsi="仿宋" w:eastAsia="仿宋" w:cs="仿宋"/>
                <w:color w:val="auto"/>
                <w:sz w:val="24"/>
                <w:szCs w:val="24"/>
                <w:shd w:val="clear" w:color="auto" w:fill="auto"/>
                <w:lang w:eastAsia="zh-CN"/>
              </w:rPr>
              <w:t>大客车位</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厂房</w:t>
            </w:r>
            <w:r>
              <w:rPr>
                <w:rFonts w:hint="eastAsia" w:ascii="仿宋" w:hAnsi="仿宋" w:eastAsia="仿宋" w:cs="仿宋"/>
                <w:color w:val="auto"/>
                <w:sz w:val="24"/>
                <w:szCs w:val="24"/>
                <w:shd w:val="clear" w:color="auto" w:fill="auto"/>
                <w:lang w:eastAsia="zh-CN"/>
              </w:rPr>
              <w:t>仓储</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每3000平方米建筑面积设1个装卸车位，最低不得少于每幢厂房或每单元（排屋式厂房）设置1个装卸车位</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252"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金融类</w:t>
            </w:r>
          </w:p>
        </w:tc>
        <w:tc>
          <w:tcPr>
            <w:tcW w:w="4829"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每1000平方米建筑面积设1个装卸车位，不足1000平方米的按1个装卸车位设置，且装卸车位不得临城市道路设置</w:t>
            </w:r>
          </w:p>
        </w:tc>
        <w:tc>
          <w:tcPr>
            <w:tcW w:w="1714"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11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仿宋" w:hAnsi="仿宋" w:eastAsia="仿宋" w:cs="仿宋"/>
                <w:color w:val="auto"/>
                <w:sz w:val="24"/>
                <w:szCs w:val="24"/>
                <w:shd w:val="clear" w:color="auto" w:fill="auto"/>
              </w:rPr>
            </w:pPr>
          </w:p>
        </w:tc>
      </w:tr>
    </w:tbl>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Lines="50" w:beforeAutospacing="0" w:after="0" w:afterAutospacing="0" w:line="360" w:lineRule="auto"/>
        <w:ind w:left="28" w:leftChars="0" w:right="0" w:firstLine="601" w:firstLineChars="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加油（气）站和充电站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城市加油加气站应符合国土空间规划、环境保护和消防安全的要求，并应选择在交通便利的地区，建设标准应符合《汽车加油加气站设计与施工规范》（GB50156-2014）、《汽车加油加气加氢站技术标准》（GB50156-2021）的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2、在城市建成区内不宜建一级加油站、一级加气站、一级加油加气合建站、CNG加气母站。</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3、城</w:t>
      </w:r>
      <w:r>
        <w:rPr>
          <w:rFonts w:hint="eastAsia" w:ascii="仿宋_GB2312" w:hAnsi="仿宋_GB2312" w:eastAsia="仿宋_GB2312" w:cs="仿宋_GB2312"/>
          <w:color w:val="auto"/>
          <w:sz w:val="30"/>
          <w:szCs w:val="30"/>
          <w:shd w:val="clear" w:color="auto" w:fill="auto"/>
          <w:lang w:val="en-US" w:eastAsia="zh-CN"/>
        </w:rPr>
        <w:t>镇开发边界内应预留汽车充电站的位置。充电站宜靠近城市道路，且不宜选在城市干道的交叉口和交通繁忙路段附近；</w:t>
      </w:r>
      <w:r>
        <w:rPr>
          <w:rFonts w:hint="eastAsia" w:ascii="仿宋" w:hAnsi="仿宋" w:eastAsia="仿宋" w:cs="仿宋"/>
          <w:color w:val="auto"/>
          <w:sz w:val="30"/>
          <w:szCs w:val="30"/>
          <w:shd w:val="clear" w:color="auto" w:fill="auto"/>
          <w:lang w:val="en-US" w:eastAsia="zh-CN"/>
        </w:rPr>
        <w:t>不应靠近有潜在火灾或爆炸危险的地方，当与有爆炸危险的建筑毗邻时，应符合《爆炸危险环境电力装置设计规范（GB50058-2014）的有关要求；不应设在有剧烈震动的场所，不宜设在多尘或有腐蚀性气体的场所，当无法远离时，不应设在污染源盛行风向的下风侧。</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color w:val="auto"/>
          <w:sz w:val="30"/>
          <w:szCs w:val="30"/>
          <w:shd w:val="clear" w:color="auto" w:fill="auto"/>
          <w:lang w:val="en-US" w:eastAsia="zh-CN"/>
        </w:rPr>
      </w:pP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color w:val="auto"/>
          <w:sz w:val="30"/>
          <w:szCs w:val="30"/>
          <w:shd w:val="clear" w:color="auto" w:fill="auto"/>
          <w:lang w:val="en-US" w:eastAsia="zh-CN"/>
        </w:rPr>
      </w:pP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color w:val="auto"/>
          <w:sz w:val="30"/>
          <w:szCs w:val="30"/>
          <w:shd w:val="clear" w:color="auto" w:fill="auto"/>
          <w:lang w:val="en-US" w:eastAsia="zh-CN"/>
        </w:rPr>
      </w:pP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仿宋" w:hAnsi="仿宋" w:eastAsia="仿宋" w:cs="仿宋"/>
          <w:color w:val="auto"/>
          <w:sz w:val="30"/>
          <w:szCs w:val="30"/>
          <w:shd w:val="clear" w:color="auto" w:fill="auto"/>
          <w:lang w:val="en-US" w:eastAsia="zh-CN"/>
        </w:rPr>
      </w:pPr>
    </w:p>
    <w:p>
      <w:pPr>
        <w:pStyle w:val="2"/>
        <w:pageBreakBefore w:val="0"/>
        <w:numPr>
          <w:ilvl w:val="0"/>
          <w:numId w:val="3"/>
        </w:numPr>
        <w:kinsoku/>
        <w:wordWrap/>
        <w:overflowPunct/>
        <w:topLinePunct w:val="0"/>
        <w:autoSpaceDE/>
        <w:bidi w:val="0"/>
        <w:spacing w:line="360" w:lineRule="auto"/>
        <w:ind w:firstLine="723" w:firstLineChars="200"/>
        <w:jc w:val="center"/>
        <w:rPr>
          <w:rFonts w:hint="eastAsia"/>
          <w:b/>
          <w:bCs/>
          <w:color w:val="auto"/>
          <w:sz w:val="36"/>
          <w:szCs w:val="36"/>
          <w:shd w:val="clear" w:color="auto" w:fill="auto"/>
          <w:lang w:val="en-US" w:eastAsia="zh-CN"/>
        </w:rPr>
      </w:pPr>
      <w:bookmarkStart w:id="24" w:name="_Toc22992"/>
      <w:r>
        <w:rPr>
          <w:rFonts w:hint="eastAsia"/>
          <w:b/>
          <w:bCs/>
          <w:color w:val="auto"/>
          <w:sz w:val="36"/>
          <w:szCs w:val="36"/>
          <w:shd w:val="clear" w:color="auto" w:fill="auto"/>
          <w:lang w:val="en-US" w:eastAsia="zh-CN"/>
        </w:rPr>
        <w:t>市政公用设施及管线</w:t>
      </w:r>
      <w:bookmarkEnd w:id="24"/>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25" w:name="_Toc17869"/>
      <w:r>
        <w:rPr>
          <w:rFonts w:hint="eastAsia"/>
          <w:b w:val="0"/>
          <w:bCs/>
          <w:color w:val="auto"/>
          <w:shd w:val="clear" w:color="auto" w:fill="auto"/>
          <w:lang w:val="en-US" w:eastAsia="zh-CN"/>
        </w:rPr>
        <w:t>第一节  供应设施</w:t>
      </w:r>
      <w:bookmarkEnd w:id="25"/>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给水设施</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加压泵站位置宜靠近用水集中地区。泵站用地应按规划期给水规模确定，用地控制指标按表</w:t>
      </w:r>
      <w:r>
        <w:rPr>
          <w:rFonts w:hint="eastAsia" w:ascii="仿宋" w:hAnsi="仿宋" w:eastAsia="仿宋" w:cs="仿宋"/>
          <w:color w:val="auto"/>
          <w:sz w:val="30"/>
          <w:szCs w:val="30"/>
          <w:shd w:val="clear" w:color="auto" w:fill="auto"/>
          <w:lang w:val="en-US" w:eastAsia="zh-CN"/>
        </w:rPr>
        <w:t>6.1</w:t>
      </w:r>
      <w:r>
        <w:rPr>
          <w:rFonts w:hint="eastAsia" w:ascii="仿宋" w:hAnsi="仿宋" w:eastAsia="仿宋" w:cs="仿宋"/>
          <w:color w:val="auto"/>
          <w:sz w:val="30"/>
          <w:szCs w:val="30"/>
          <w:shd w:val="clear" w:color="auto" w:fill="auto"/>
          <w:lang w:eastAsia="zh-CN"/>
        </w:rPr>
        <w:t>执行。泵站周围应设置宽度不小于10米的绿化带，并宜与城市绿化用地相结合。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表6.1  加压泵站用地控制指标</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381"/>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exact"/>
          <w:jc w:val="center"/>
        </w:trPr>
        <w:tc>
          <w:tcPr>
            <w:tcW w:w="2402"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建设规模（万m</w:t>
            </w:r>
            <w:r>
              <w:rPr>
                <w:rFonts w:hint="eastAsia" w:ascii="仿宋" w:hAnsi="仿宋" w:eastAsia="仿宋" w:cs="仿宋"/>
                <w:b/>
                <w:bCs/>
                <w:color w:val="auto"/>
                <w:w w:val="105"/>
                <w:sz w:val="24"/>
                <w:szCs w:val="24"/>
                <w:shd w:val="clear" w:color="auto" w:fill="auto"/>
                <w:vertAlign w:val="superscript"/>
                <w:lang w:val="en-US" w:eastAsia="zh-CN"/>
              </w:rPr>
              <w:t>3</w:t>
            </w:r>
            <w:r>
              <w:rPr>
                <w:rFonts w:hint="eastAsia" w:ascii="仿宋" w:hAnsi="仿宋" w:eastAsia="仿宋" w:cs="仿宋"/>
                <w:b/>
                <w:bCs/>
                <w:color w:val="auto"/>
                <w:w w:val="105"/>
                <w:sz w:val="24"/>
                <w:szCs w:val="24"/>
                <w:shd w:val="clear" w:color="auto" w:fill="auto"/>
                <w:lang w:val="en-US" w:eastAsia="en-US"/>
              </w:rPr>
              <w:t>/d）</w:t>
            </w:r>
          </w:p>
        </w:tc>
        <w:tc>
          <w:tcPr>
            <w:tcW w:w="2597"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zh-CN"/>
              </w:rPr>
            </w:pPr>
            <w:r>
              <w:rPr>
                <w:rFonts w:hint="eastAsia" w:ascii="仿宋" w:hAnsi="仿宋" w:eastAsia="仿宋" w:cs="仿宋"/>
                <w:b/>
                <w:bCs/>
                <w:color w:val="auto"/>
                <w:w w:val="105"/>
                <w:sz w:val="24"/>
                <w:szCs w:val="24"/>
                <w:shd w:val="clear" w:color="auto" w:fill="auto"/>
                <w:lang w:val="en-US" w:eastAsia="zh-CN"/>
              </w:rPr>
              <w:t>用地指标（m</w:t>
            </w:r>
            <w:r>
              <w:rPr>
                <w:rFonts w:hint="eastAsia" w:ascii="仿宋" w:hAnsi="仿宋" w:eastAsia="仿宋" w:cs="仿宋"/>
                <w:b/>
                <w:bCs/>
                <w:color w:val="auto"/>
                <w:w w:val="105"/>
                <w:sz w:val="24"/>
                <w:szCs w:val="24"/>
                <w:shd w:val="clear" w:color="auto" w:fill="auto"/>
                <w:vertAlign w:val="superscript"/>
                <w:lang w:val="en-US" w:eastAsia="zh-CN"/>
              </w:rPr>
              <w:t>2</w:t>
            </w:r>
            <w:r>
              <w:rPr>
                <w:rFonts w:hint="eastAsia" w:ascii="仿宋" w:hAnsi="仿宋" w:eastAsia="仿宋" w:cs="仿宋"/>
                <w:b/>
                <w:bCs/>
                <w:color w:val="auto"/>
                <w:w w:val="105"/>
                <w:sz w:val="24"/>
                <w:szCs w:val="24"/>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1" w:hRule="exact"/>
          <w:jc w:val="center"/>
        </w:trPr>
        <w:tc>
          <w:tcPr>
            <w:tcW w:w="2402"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zh-CN"/>
              </w:rPr>
            </w:pPr>
            <w:r>
              <w:rPr>
                <w:rFonts w:hint="eastAsia" w:ascii="仿宋" w:hAnsi="仿宋" w:eastAsia="仿宋" w:cs="仿宋"/>
                <w:b w:val="0"/>
                <w:bCs w:val="0"/>
                <w:color w:val="auto"/>
                <w:w w:val="105"/>
                <w:sz w:val="24"/>
                <w:szCs w:val="24"/>
                <w:shd w:val="clear" w:color="auto" w:fill="auto"/>
                <w:lang w:val="en-US" w:eastAsia="en-US"/>
              </w:rPr>
              <w:t>5-10</w:t>
            </w:r>
          </w:p>
        </w:tc>
        <w:tc>
          <w:tcPr>
            <w:tcW w:w="2597"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zh-CN"/>
              </w:rPr>
            </w:pPr>
            <w:r>
              <w:rPr>
                <w:rFonts w:hint="eastAsia" w:ascii="仿宋" w:hAnsi="仿宋" w:eastAsia="仿宋" w:cs="仿宋"/>
                <w:b w:val="0"/>
                <w:bCs w:val="0"/>
                <w:color w:val="auto"/>
                <w:w w:val="105"/>
                <w:sz w:val="24"/>
                <w:szCs w:val="24"/>
                <w:shd w:val="clear" w:color="auto" w:fill="auto"/>
                <w:lang w:val="en-US" w:eastAsia="en-US"/>
              </w:rPr>
              <w:t>2750-4000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6" w:hRule="exact"/>
          <w:jc w:val="center"/>
        </w:trPr>
        <w:tc>
          <w:tcPr>
            <w:tcW w:w="2402"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zh-CN"/>
              </w:rPr>
            </w:pPr>
            <w:r>
              <w:rPr>
                <w:rFonts w:hint="eastAsia" w:ascii="仿宋" w:hAnsi="仿宋" w:eastAsia="仿宋" w:cs="仿宋"/>
                <w:b w:val="0"/>
                <w:bCs w:val="0"/>
                <w:color w:val="auto"/>
                <w:w w:val="105"/>
                <w:sz w:val="24"/>
                <w:szCs w:val="24"/>
                <w:shd w:val="clear" w:color="auto" w:fill="auto"/>
                <w:lang w:val="en-US" w:eastAsia="en-US"/>
              </w:rPr>
              <w:t>10-30</w:t>
            </w:r>
          </w:p>
        </w:tc>
        <w:tc>
          <w:tcPr>
            <w:tcW w:w="2597"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zh-CN"/>
              </w:rPr>
            </w:pPr>
            <w:r>
              <w:rPr>
                <w:rFonts w:hint="eastAsia" w:ascii="仿宋" w:hAnsi="仿宋" w:eastAsia="仿宋" w:cs="仿宋"/>
                <w:b w:val="0"/>
                <w:bCs w:val="0"/>
                <w:color w:val="auto"/>
                <w:w w:val="105"/>
                <w:sz w:val="24"/>
                <w:szCs w:val="24"/>
                <w:shd w:val="clear" w:color="auto" w:fill="auto"/>
                <w:lang w:val="en-US" w:eastAsia="en-US"/>
              </w:rPr>
              <w:t>4000-7500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5" w:hRule="exact"/>
          <w:jc w:val="center"/>
        </w:trPr>
        <w:tc>
          <w:tcPr>
            <w:tcW w:w="2402"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zh-CN"/>
              </w:rPr>
            </w:pPr>
            <w:r>
              <w:rPr>
                <w:rFonts w:hint="eastAsia" w:ascii="仿宋" w:hAnsi="仿宋" w:eastAsia="仿宋" w:cs="仿宋"/>
                <w:b w:val="0"/>
                <w:bCs w:val="0"/>
                <w:color w:val="auto"/>
                <w:w w:val="105"/>
                <w:sz w:val="24"/>
                <w:szCs w:val="24"/>
                <w:shd w:val="clear" w:color="auto" w:fill="auto"/>
                <w:lang w:val="en-US" w:eastAsia="en-US"/>
              </w:rPr>
              <w:t>30-50</w:t>
            </w:r>
          </w:p>
        </w:tc>
        <w:tc>
          <w:tcPr>
            <w:tcW w:w="2597"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zh-CN"/>
              </w:rPr>
            </w:pPr>
            <w:r>
              <w:rPr>
                <w:rFonts w:hint="eastAsia" w:ascii="仿宋" w:hAnsi="仿宋" w:eastAsia="仿宋" w:cs="仿宋"/>
                <w:b w:val="0"/>
                <w:bCs w:val="0"/>
                <w:color w:val="auto"/>
                <w:w w:val="105"/>
                <w:sz w:val="24"/>
                <w:szCs w:val="24"/>
                <w:shd w:val="clear" w:color="auto" w:fill="auto"/>
                <w:lang w:val="en-US" w:eastAsia="en-US"/>
              </w:rPr>
              <w:t>7500-10000</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注：1、建设规模大的取下限，建设规模小的取上限。</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2、加压泵站设有大容量地调节水池时，可根据需要增加用地。</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3、本表指标未包括泵站周围绿化地带用地。</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电力设施</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_GB2312" w:hAnsi="仿宋_GB2312" w:eastAsia="仿宋_GB2312" w:cs="仿宋_GB2312"/>
          <w:color w:val="auto"/>
          <w:sz w:val="30"/>
          <w:szCs w:val="30"/>
          <w:shd w:val="clear" w:color="auto" w:fill="auto"/>
          <w:lang w:val="en-US" w:eastAsia="en-US"/>
        </w:rPr>
        <w:t>变电站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 w:hAnsi="仿宋" w:eastAsia="仿宋" w:cs="仿宋"/>
          <w:color w:val="auto"/>
          <w:sz w:val="30"/>
          <w:szCs w:val="30"/>
          <w:shd w:val="clear" w:color="auto" w:fill="auto"/>
          <w:lang w:val="en-US" w:eastAsia="zh-CN"/>
        </w:rPr>
        <w:t>城镇开发边界内</w:t>
      </w:r>
      <w:r>
        <w:rPr>
          <w:rFonts w:hint="eastAsia" w:ascii="仿宋" w:hAnsi="仿宋" w:eastAsia="仿宋" w:cs="仿宋"/>
          <w:color w:val="auto"/>
          <w:sz w:val="30"/>
          <w:szCs w:val="30"/>
          <w:shd w:val="clear" w:color="auto" w:fill="auto"/>
          <w:lang w:val="en-US" w:eastAsia="en-US"/>
        </w:rPr>
        <w:t>规划新建的35～110</w:t>
      </w:r>
      <w:r>
        <w:rPr>
          <w:rFonts w:hint="eastAsia" w:ascii="仿宋" w:hAnsi="仿宋" w:eastAsia="仿宋" w:cs="仿宋"/>
          <w:color w:val="auto"/>
          <w:sz w:val="30"/>
          <w:szCs w:val="30"/>
          <w:shd w:val="clear" w:color="auto" w:fill="auto"/>
          <w:lang w:val="en-US" w:eastAsia="zh-CN"/>
        </w:rPr>
        <w:t>千伏</w:t>
      </w:r>
      <w:r>
        <w:rPr>
          <w:rFonts w:hint="eastAsia" w:ascii="仿宋" w:hAnsi="仿宋" w:eastAsia="仿宋" w:cs="仿宋"/>
          <w:color w:val="auto"/>
          <w:sz w:val="30"/>
          <w:szCs w:val="30"/>
          <w:shd w:val="clear" w:color="auto" w:fill="auto"/>
          <w:lang w:val="en-US" w:eastAsia="en-US"/>
        </w:rPr>
        <w:t>变电站宜采用户内式或半户外式结构；</w:t>
      </w:r>
      <w:r>
        <w:rPr>
          <w:rFonts w:hint="eastAsia" w:ascii="仿宋" w:hAnsi="仿宋" w:eastAsia="仿宋" w:cs="仿宋"/>
          <w:color w:val="auto"/>
          <w:sz w:val="30"/>
          <w:szCs w:val="30"/>
          <w:shd w:val="clear" w:color="auto" w:fill="auto"/>
          <w:lang w:val="en-US" w:eastAsia="zh-CN"/>
        </w:rPr>
        <w:t>城镇开发边界内</w:t>
      </w:r>
      <w:r>
        <w:rPr>
          <w:rFonts w:hint="eastAsia" w:ascii="仿宋" w:hAnsi="仿宋" w:eastAsia="仿宋" w:cs="仿宋"/>
          <w:color w:val="auto"/>
          <w:sz w:val="30"/>
          <w:szCs w:val="30"/>
          <w:shd w:val="clear" w:color="auto" w:fill="auto"/>
          <w:lang w:val="en-US" w:eastAsia="en-US"/>
        </w:rPr>
        <w:t>110</w:t>
      </w:r>
      <w:r>
        <w:rPr>
          <w:rFonts w:hint="eastAsia" w:ascii="仿宋" w:hAnsi="仿宋" w:eastAsia="仿宋" w:cs="仿宋"/>
          <w:color w:val="auto"/>
          <w:sz w:val="30"/>
          <w:szCs w:val="30"/>
          <w:shd w:val="clear" w:color="auto" w:fill="auto"/>
          <w:lang w:val="en-US" w:eastAsia="zh-CN"/>
        </w:rPr>
        <w:t>千伏</w:t>
      </w:r>
      <w:r>
        <w:rPr>
          <w:rFonts w:hint="eastAsia" w:ascii="仿宋" w:hAnsi="仿宋" w:eastAsia="仿宋" w:cs="仿宋"/>
          <w:color w:val="auto"/>
          <w:sz w:val="30"/>
          <w:szCs w:val="30"/>
          <w:shd w:val="clear" w:color="auto" w:fill="auto"/>
          <w:lang w:val="en-US" w:eastAsia="en-US"/>
        </w:rPr>
        <w:t>变电站宜采用户内式结构，</w:t>
      </w:r>
      <w:r>
        <w:rPr>
          <w:rFonts w:hint="eastAsia" w:ascii="仿宋" w:hAnsi="仿宋" w:eastAsia="仿宋" w:cs="仿宋"/>
          <w:color w:val="auto"/>
          <w:spacing w:val="7"/>
          <w:sz w:val="29"/>
          <w:szCs w:val="29"/>
          <w:shd w:val="clear" w:color="auto" w:fill="auto"/>
        </w:rPr>
        <w:t>220</w:t>
      </w:r>
      <w:r>
        <w:rPr>
          <w:rFonts w:hint="eastAsia" w:ascii="仿宋" w:hAnsi="仿宋" w:eastAsia="仿宋" w:cs="仿宋"/>
          <w:color w:val="auto"/>
          <w:sz w:val="29"/>
          <w:szCs w:val="29"/>
          <w:shd w:val="clear" w:color="auto" w:fill="auto"/>
        </w:rPr>
        <w:t>kV</w:t>
      </w:r>
      <w:r>
        <w:rPr>
          <w:rFonts w:hint="eastAsia" w:ascii="仿宋" w:hAnsi="仿宋" w:eastAsia="仿宋" w:cs="仿宋"/>
          <w:color w:val="auto"/>
          <w:spacing w:val="7"/>
          <w:sz w:val="29"/>
          <w:szCs w:val="29"/>
          <w:shd w:val="clear" w:color="auto" w:fill="auto"/>
        </w:rPr>
        <w:t>变电站宜采用</w:t>
      </w:r>
      <w:r>
        <w:rPr>
          <w:rFonts w:hint="eastAsia" w:ascii="仿宋" w:hAnsi="仿宋" w:eastAsia="仿宋" w:cs="仿宋"/>
          <w:color w:val="auto"/>
          <w:sz w:val="29"/>
          <w:szCs w:val="29"/>
          <w:shd w:val="clear" w:color="auto" w:fill="auto"/>
        </w:rPr>
        <w:t>HGIS</w:t>
      </w:r>
      <w:r>
        <w:rPr>
          <w:rFonts w:hint="eastAsia" w:ascii="仿宋" w:hAnsi="仿宋" w:eastAsia="仿宋" w:cs="仿宋"/>
          <w:color w:val="auto"/>
          <w:spacing w:val="7"/>
          <w:sz w:val="29"/>
          <w:szCs w:val="29"/>
          <w:shd w:val="clear" w:color="auto" w:fill="auto"/>
        </w:rPr>
        <w:t>或</w:t>
      </w:r>
      <w:r>
        <w:rPr>
          <w:rFonts w:hint="eastAsia" w:ascii="仿宋" w:hAnsi="仿宋" w:eastAsia="仿宋" w:cs="仿宋"/>
          <w:color w:val="auto"/>
          <w:sz w:val="29"/>
          <w:szCs w:val="29"/>
          <w:shd w:val="clear" w:color="auto" w:fill="auto"/>
        </w:rPr>
        <w:t>GIS</w:t>
      </w:r>
      <w:r>
        <w:rPr>
          <w:rFonts w:hint="eastAsia" w:ascii="仿宋" w:hAnsi="仿宋" w:eastAsia="仿宋" w:cs="仿宋"/>
          <w:color w:val="auto"/>
          <w:spacing w:val="7"/>
          <w:sz w:val="29"/>
          <w:szCs w:val="29"/>
          <w:shd w:val="clear" w:color="auto" w:fill="auto"/>
        </w:rPr>
        <w:t>设备</w:t>
      </w:r>
      <w:r>
        <w:rPr>
          <w:rFonts w:hint="eastAsia" w:ascii="仿宋" w:hAnsi="仿宋" w:eastAsia="仿宋" w:cs="仿宋"/>
          <w:color w:val="auto"/>
          <w:sz w:val="30"/>
          <w:szCs w:val="30"/>
          <w:shd w:val="clear" w:color="auto" w:fill="auto"/>
          <w:lang w:val="en-US" w:eastAsia="en-US"/>
        </w:rPr>
        <w:t>；用地紧张或景观有特殊要求时，鼓励变电站与其他建筑合建，或结合城市广场、公共绿地建设地下或半地下变电站。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2、高压走廊</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35kV及以上高压架空电力线路应规划专用保护通道。市区内单杆单回水平排列或单杆多回垂直排列的35～500千伏高压架空电力线路的规划走廊宽度，按表6.2执行。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en-US"/>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 xml:space="preserve">6.2  </w:t>
      </w:r>
      <w:r>
        <w:rPr>
          <w:rFonts w:hint="eastAsia" w:ascii="仿宋" w:hAnsi="仿宋" w:eastAsia="仿宋" w:cs="仿宋"/>
          <w:b/>
          <w:color w:val="auto"/>
          <w:sz w:val="28"/>
          <w:szCs w:val="28"/>
          <w:shd w:val="clear" w:color="auto" w:fill="auto"/>
          <w:lang w:val="en-US" w:eastAsia="en-US"/>
        </w:rPr>
        <w:t>市区高压架空电力线路的规划走廊宽度</w:t>
      </w:r>
    </w:p>
    <w:tbl>
      <w:tblPr>
        <w:tblStyle w:val="1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53"/>
        <w:gridCol w:w="4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49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线路电压等级（</w:t>
            </w:r>
            <w:r>
              <w:rPr>
                <w:rFonts w:hint="eastAsia" w:ascii="仿宋" w:hAnsi="仿宋" w:eastAsia="仿宋" w:cs="仿宋"/>
                <w:b/>
                <w:bCs/>
                <w:color w:val="auto"/>
                <w:w w:val="105"/>
                <w:sz w:val="24"/>
                <w:szCs w:val="24"/>
                <w:shd w:val="clear" w:color="auto" w:fill="auto"/>
                <w:lang w:val="en-US" w:eastAsia="zh-CN"/>
              </w:rPr>
              <w:t>k</w:t>
            </w:r>
            <w:r>
              <w:rPr>
                <w:rFonts w:hint="eastAsia" w:ascii="仿宋" w:hAnsi="仿宋" w:eastAsia="仿宋" w:cs="仿宋"/>
                <w:b/>
                <w:bCs/>
                <w:color w:val="auto"/>
                <w:w w:val="105"/>
                <w:sz w:val="24"/>
                <w:szCs w:val="24"/>
                <w:shd w:val="clear" w:color="auto" w:fill="auto"/>
                <w:lang w:val="en-US" w:eastAsia="en-US"/>
              </w:rPr>
              <w:t>V）</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高压线走廊宽度（</w:t>
            </w:r>
            <w:r>
              <w:rPr>
                <w:rFonts w:hint="eastAsia" w:ascii="仿宋" w:hAnsi="仿宋" w:eastAsia="仿宋" w:cs="仿宋"/>
                <w:b/>
                <w:bCs/>
                <w:color w:val="auto"/>
                <w:w w:val="105"/>
                <w:sz w:val="24"/>
                <w:szCs w:val="24"/>
                <w:shd w:val="clear" w:color="auto" w:fill="auto"/>
                <w:lang w:val="en-US" w:eastAsia="zh-CN"/>
              </w:rPr>
              <w:t>m</w:t>
            </w:r>
            <w:r>
              <w:rPr>
                <w:rFonts w:hint="eastAsia" w:ascii="仿宋" w:hAnsi="仿宋" w:eastAsia="仿宋" w:cs="仿宋"/>
                <w:b/>
                <w:bCs/>
                <w:color w:val="auto"/>
                <w:w w:val="105"/>
                <w:sz w:val="24"/>
                <w:szCs w:val="24"/>
                <w:shd w:val="clear" w:color="auto" w:fill="auto"/>
                <w:lang w:val="en-US"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249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500</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60-75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49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220</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30-40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9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110</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15-25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499"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35</w:t>
            </w:r>
          </w:p>
        </w:tc>
        <w:tc>
          <w:tcPr>
            <w:tcW w:w="250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12-20</w:t>
            </w:r>
          </w:p>
        </w:tc>
      </w:tr>
    </w:tbl>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架空电力线敷设要求</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eastAsia="zh-CN"/>
        </w:rPr>
        <w:t>架空杆线布置要求</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电力架空杆线与电信架空杆线宜分别架设在道路两侧，且与同类地下电缆位于同侧。同一性质的工程管线宜合杆架设。架空线线杆宜设置在人行道上距路缘石不大于1米的位置；有分车带的道路，架空线线杆宜布置在分车带内。</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 w:hAnsi="仿宋" w:eastAsia="仿宋" w:cs="仿宋"/>
          <w:b w:val="0"/>
          <w:bCs w:val="0"/>
          <w:color w:val="auto"/>
          <w:sz w:val="30"/>
          <w:szCs w:val="30"/>
          <w:shd w:val="clear" w:color="auto" w:fill="auto"/>
          <w:lang w:eastAsia="zh-CN"/>
        </w:rPr>
      </w:pPr>
      <w:r>
        <w:rPr>
          <w:rFonts w:hint="eastAsia" w:ascii="仿宋" w:hAnsi="仿宋" w:eastAsia="仿宋" w:cs="仿宋"/>
          <w:b w:val="0"/>
          <w:bCs w:val="0"/>
          <w:color w:val="auto"/>
          <w:sz w:val="30"/>
          <w:szCs w:val="30"/>
          <w:shd w:val="clear" w:color="auto" w:fill="auto"/>
          <w:lang w:eastAsia="zh-CN"/>
        </w:rPr>
        <w:t>架空电力线严禁跨越易燃、易爆的危险场所，不跨越屋顶为易燃材料的建筑物，并尽量避免跨越其他建筑物。</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eastAsia="zh-CN"/>
        </w:rPr>
        <w:t>架空管线最小水平净距</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架空管线与建（构）筑物的最小水平净距应符合表</w:t>
      </w:r>
      <w:r>
        <w:rPr>
          <w:rFonts w:hint="eastAsia" w:ascii="仿宋" w:hAnsi="仿宋" w:eastAsia="仿宋" w:cs="仿宋"/>
          <w:color w:val="auto"/>
          <w:sz w:val="30"/>
          <w:szCs w:val="30"/>
          <w:shd w:val="clear" w:color="auto" w:fill="auto"/>
          <w:lang w:val="en-US" w:eastAsia="zh-CN"/>
        </w:rPr>
        <w:t>6.3</w:t>
      </w:r>
      <w:r>
        <w:rPr>
          <w:rFonts w:hint="eastAsia" w:ascii="仿宋" w:hAnsi="仿宋" w:eastAsia="仿宋" w:cs="仿宋"/>
          <w:color w:val="auto"/>
          <w:sz w:val="30"/>
          <w:szCs w:val="30"/>
          <w:shd w:val="clear" w:color="auto" w:fill="auto"/>
          <w:lang w:eastAsia="zh-CN"/>
        </w:rPr>
        <w:t>的规定。</w:t>
      </w:r>
    </w:p>
    <w:p>
      <w:pPr>
        <w:pageBreakBefore w:val="0"/>
        <w:widowControl w:val="0"/>
        <w:kinsoku/>
        <w:wordWrap/>
        <w:overflowPunct/>
        <w:topLinePunct w:val="0"/>
        <w:autoSpaceDE/>
        <w:autoSpaceDN/>
        <w:bidi w:val="0"/>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6.3  架空管线之间及其与建（构）筑物之间的最小水平净距（m）</w:t>
      </w:r>
    </w:p>
    <w:tbl>
      <w:tblPr>
        <w:tblStyle w:val="13"/>
        <w:tblpPr w:leftFromText="180" w:rightFromText="180" w:vertAnchor="text" w:horzAnchor="page" w:tblpX="1613" w:tblpY="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2184"/>
        <w:gridCol w:w="1681"/>
        <w:gridCol w:w="1316"/>
        <w:gridCol w:w="996"/>
        <w:gridCol w:w="1331"/>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1" w:type="dxa"/>
            <w:gridSpan w:val="2"/>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名称</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建（构）筑物凸出部分</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通信线</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电力线</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燃气管道</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其他管道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电力线</w:t>
            </w:r>
          </w:p>
        </w:tc>
        <w:tc>
          <w:tcPr>
            <w:tcW w:w="218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3kV以下边导线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2.5</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1.5</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218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3kV-10kV边导线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1.5</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2.5</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218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35kV-66kV边导线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7"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218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110kV边导线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218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220kV边导线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218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500kV边导线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8.5</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8.0</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13.0</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1" w:type="dxa"/>
            <w:gridSpan w:val="2"/>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通信线</w:t>
            </w:r>
          </w:p>
        </w:tc>
        <w:tc>
          <w:tcPr>
            <w:tcW w:w="168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sz w:val="24"/>
                <w:szCs w:val="24"/>
                <w:shd w:val="clear" w:color="auto" w:fill="auto"/>
                <w:vertAlign w:val="baseline"/>
                <w:lang w:val="en-US" w:eastAsia="zh-CN"/>
              </w:rPr>
              <w:t>2.0</w:t>
            </w:r>
          </w:p>
        </w:tc>
        <w:tc>
          <w:tcPr>
            <w:tcW w:w="131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sz w:val="24"/>
                <w:szCs w:val="24"/>
                <w:shd w:val="clear" w:color="auto" w:fill="auto"/>
                <w:vertAlign w:val="baseline"/>
                <w:lang w:val="en-US" w:eastAsia="zh-CN"/>
              </w:rPr>
              <w:t>-</w:t>
            </w:r>
          </w:p>
        </w:tc>
        <w:tc>
          <w:tcPr>
            <w:tcW w:w="9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sz w:val="24"/>
                <w:szCs w:val="24"/>
                <w:shd w:val="clear" w:color="auto" w:fill="auto"/>
                <w:vertAlign w:val="baseline"/>
                <w:lang w:val="en-US" w:eastAsia="zh-CN"/>
              </w:rPr>
              <w:t>-</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sz w:val="24"/>
                <w:szCs w:val="24"/>
                <w:shd w:val="clear" w:color="auto" w:fill="auto"/>
                <w:vertAlign w:val="baseline"/>
                <w:lang w:val="en-US" w:eastAsia="zh-CN"/>
              </w:rPr>
              <w:t>-</w:t>
            </w:r>
          </w:p>
        </w:tc>
        <w:tc>
          <w:tcPr>
            <w:tcW w:w="133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sz w:val="24"/>
                <w:szCs w:val="24"/>
                <w:shd w:val="clear" w:color="auto" w:fill="auto"/>
                <w:vertAlign w:val="baseline"/>
                <w:lang w:val="en-US" w:eastAsia="zh-CN"/>
              </w:rPr>
              <w:t>-</w:t>
            </w:r>
          </w:p>
        </w:tc>
      </w:tr>
    </w:tbl>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_GB2312" w:hAnsi="仿宋_GB2312" w:eastAsia="仿宋_GB2312" w:cs="仿宋_GB2312"/>
          <w:color w:val="auto"/>
          <w:sz w:val="30"/>
          <w:szCs w:val="30"/>
          <w:shd w:val="clear" w:color="auto" w:fill="auto"/>
          <w:lang w:eastAsia="zh-CN"/>
        </w:rPr>
        <w:t>架空管线最小垂直净距</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jc w:val="both"/>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架空管线交叉时的最小垂直净距应符合表</w:t>
      </w:r>
      <w:r>
        <w:rPr>
          <w:rFonts w:hint="eastAsia" w:ascii="仿宋" w:hAnsi="仿宋" w:eastAsia="仿宋" w:cs="仿宋"/>
          <w:color w:val="auto"/>
          <w:sz w:val="30"/>
          <w:szCs w:val="30"/>
          <w:shd w:val="clear" w:color="auto" w:fill="auto"/>
          <w:lang w:val="en-US" w:eastAsia="zh-CN"/>
        </w:rPr>
        <w:t>6.4</w:t>
      </w:r>
      <w:r>
        <w:rPr>
          <w:rFonts w:hint="eastAsia" w:ascii="仿宋" w:hAnsi="仿宋" w:eastAsia="仿宋" w:cs="仿宋"/>
          <w:color w:val="auto"/>
          <w:sz w:val="30"/>
          <w:szCs w:val="30"/>
          <w:shd w:val="clear" w:color="auto" w:fill="auto"/>
          <w:lang w:eastAsia="zh-CN"/>
        </w:rPr>
        <w:t>的规定。</w:t>
      </w:r>
    </w:p>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6.4  架空管线之间及其与建（构）筑物之间交叉时的最小垂直净距（m）</w:t>
      </w:r>
    </w:p>
    <w:tbl>
      <w:tblPr>
        <w:tblStyle w:val="13"/>
        <w:tblpPr w:leftFromText="180" w:rightFromText="180" w:vertAnchor="text" w:horzAnchor="page" w:tblpX="1525" w:tblpY="2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182"/>
        <w:gridCol w:w="1141"/>
        <w:gridCol w:w="795"/>
        <w:gridCol w:w="704"/>
        <w:gridCol w:w="945"/>
        <w:gridCol w:w="965"/>
        <w:gridCol w:w="993"/>
        <w:gridCol w:w="1195"/>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gridSpan w:val="2"/>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名称</w:t>
            </w:r>
          </w:p>
        </w:tc>
        <w:tc>
          <w:tcPr>
            <w:tcW w:w="1142"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建（构）筑物</w:t>
            </w:r>
          </w:p>
        </w:tc>
        <w:tc>
          <w:tcPr>
            <w:tcW w:w="796"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地面</w:t>
            </w:r>
          </w:p>
        </w:tc>
        <w:tc>
          <w:tcPr>
            <w:tcW w:w="704"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公路</w:t>
            </w:r>
          </w:p>
        </w:tc>
        <w:tc>
          <w:tcPr>
            <w:tcW w:w="1912" w:type="dxa"/>
            <w:gridSpan w:val="2"/>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铁路</w:t>
            </w:r>
          </w:p>
        </w:tc>
        <w:tc>
          <w:tcPr>
            <w:tcW w:w="995"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通信线</w:t>
            </w:r>
          </w:p>
        </w:tc>
        <w:tc>
          <w:tcPr>
            <w:tcW w:w="1188"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燃气管道P</w:t>
            </w:r>
            <w:r>
              <w:rPr>
                <w:rFonts w:hint="default" w:ascii="Arial" w:hAnsi="Arial" w:eastAsia="仿宋" w:cs="Arial"/>
                <w:b/>
                <w:bCs w:val="0"/>
                <w:color w:val="auto"/>
                <w:sz w:val="24"/>
                <w:szCs w:val="24"/>
                <w:shd w:val="clear" w:color="auto" w:fill="auto"/>
                <w:vertAlign w:val="baseline"/>
                <w:lang w:val="en-US" w:eastAsia="zh-CN"/>
              </w:rPr>
              <w:t>≤</w:t>
            </w:r>
            <w:r>
              <w:rPr>
                <w:rFonts w:hint="eastAsia" w:ascii="仿宋" w:hAnsi="仿宋" w:eastAsia="仿宋" w:cs="仿宋"/>
                <w:b/>
                <w:bCs w:val="0"/>
                <w:color w:val="auto"/>
                <w:sz w:val="24"/>
                <w:szCs w:val="24"/>
                <w:shd w:val="clear" w:color="auto" w:fill="auto"/>
                <w:vertAlign w:val="baseline"/>
                <w:lang w:val="en-US" w:eastAsia="zh-CN"/>
              </w:rPr>
              <w:t>1.6MPa</w:t>
            </w:r>
          </w:p>
        </w:tc>
        <w:tc>
          <w:tcPr>
            <w:tcW w:w="821"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val="0"/>
                <w:color w:val="auto"/>
                <w:sz w:val="24"/>
                <w:szCs w:val="24"/>
                <w:shd w:val="clear" w:color="auto" w:fill="auto"/>
                <w:vertAlign w:val="baseline"/>
                <w:lang w:val="en-US" w:eastAsia="zh-CN"/>
              </w:rPr>
            </w:pPr>
            <w:r>
              <w:rPr>
                <w:rFonts w:hint="eastAsia" w:ascii="仿宋" w:hAnsi="仿宋" w:eastAsia="仿宋" w:cs="仿宋"/>
                <w:b/>
                <w:bCs w:val="0"/>
                <w:color w:val="auto"/>
                <w:sz w:val="24"/>
                <w:szCs w:val="24"/>
                <w:shd w:val="clear" w:color="auto" w:fill="auto"/>
                <w:vertAlign w:val="baseline"/>
                <w:lang w:val="en-US" w:eastAsia="zh-CN"/>
              </w:rPr>
              <w:t>其他管道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gridSpan w:val="2"/>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1142"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796"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704"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标准轨</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b/>
                <w:bCs/>
                <w:color w:val="auto"/>
                <w:sz w:val="24"/>
                <w:szCs w:val="24"/>
                <w:shd w:val="clear" w:color="auto" w:fill="auto"/>
                <w:vertAlign w:val="baseline"/>
                <w:lang w:val="en-US" w:eastAsia="zh-CN"/>
              </w:rPr>
            </w:pPr>
            <w:r>
              <w:rPr>
                <w:rFonts w:hint="eastAsia" w:ascii="仿宋" w:hAnsi="仿宋" w:eastAsia="仿宋" w:cs="仿宋"/>
                <w:b/>
                <w:bCs/>
                <w:color w:val="auto"/>
                <w:sz w:val="24"/>
                <w:szCs w:val="24"/>
                <w:shd w:val="clear" w:color="auto" w:fill="auto"/>
                <w:vertAlign w:val="baseline"/>
                <w:lang w:val="en-US" w:eastAsia="zh-CN"/>
              </w:rPr>
              <w:t>电气轨</w:t>
            </w:r>
          </w:p>
        </w:tc>
        <w:tc>
          <w:tcPr>
            <w:tcW w:w="995"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1188"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821"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restart"/>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电力线</w:t>
            </w:r>
          </w:p>
        </w:tc>
        <w:tc>
          <w:tcPr>
            <w:tcW w:w="118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3kV以下</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6.0</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6.0</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11.5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1.5</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w:t>
            </w:r>
          </w:p>
        </w:tc>
        <w:tc>
          <w:tcPr>
            <w:tcW w:w="118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3kV-10kV</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6.5</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7.0</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11.5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118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35kV</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7.0</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7.0</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11.5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118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110kV</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7.0</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7.0</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11.5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118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220kV</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6.0</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7.54</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8.0</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8.5</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12.5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p>
        </w:tc>
        <w:tc>
          <w:tcPr>
            <w:tcW w:w="118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500kV</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9.0</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14.0</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14.0</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14.0</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16.0</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8.5</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7.5</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gridSpan w:val="2"/>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通信线</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1.5</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5.5</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5.5</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7.5</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11.5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0.6</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kern w:val="44"/>
                <w:sz w:val="24"/>
                <w:szCs w:val="24"/>
                <w:shd w:val="clear" w:color="auto" w:fill="auto"/>
                <w:vertAlign w:val="baseline"/>
                <w:lang w:val="en-US" w:eastAsia="zh-CN" w:bidi="ar-SA"/>
              </w:rPr>
            </w:pPr>
            <w:r>
              <w:rPr>
                <w:rFonts w:hint="eastAsia" w:ascii="仿宋" w:hAnsi="仿宋" w:eastAsia="仿宋" w:cs="仿宋"/>
                <w:color w:val="auto"/>
                <w:kern w:val="44"/>
                <w:sz w:val="24"/>
                <w:szCs w:val="24"/>
                <w:shd w:val="clear" w:color="auto" w:fill="auto"/>
                <w:vertAlign w:val="baseline"/>
                <w:lang w:val="en-US" w:eastAsia="zh-CN" w:bidi="ar-SA"/>
              </w:rPr>
              <w:t>1.5</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gridSpan w:val="2"/>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燃气管道P</w:t>
            </w:r>
            <w:r>
              <w:rPr>
                <w:rFonts w:hint="default" w:ascii="Arial" w:hAnsi="Arial" w:eastAsia="仿宋" w:cs="Arial"/>
                <w:color w:val="auto"/>
                <w:sz w:val="24"/>
                <w:szCs w:val="24"/>
                <w:shd w:val="clear" w:color="auto" w:fill="auto"/>
                <w:vertAlign w:val="baseline"/>
                <w:lang w:val="en-US" w:eastAsia="zh-CN"/>
              </w:rPr>
              <w:t>≤</w:t>
            </w:r>
            <w:r>
              <w:rPr>
                <w:rFonts w:hint="eastAsia" w:ascii="仿宋" w:hAnsi="仿宋" w:eastAsia="仿宋" w:cs="仿宋"/>
                <w:color w:val="auto"/>
                <w:sz w:val="24"/>
                <w:szCs w:val="24"/>
                <w:shd w:val="clear" w:color="auto" w:fill="auto"/>
                <w:vertAlign w:val="baseline"/>
                <w:lang w:val="en-US" w:eastAsia="zh-CN"/>
              </w:rPr>
              <w:t>1.6MPa</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0.6</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5.5</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5.5</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6.0</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1.5</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0.3</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8" w:type="dxa"/>
            <w:gridSpan w:val="2"/>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其他管道</w:t>
            </w:r>
          </w:p>
        </w:tc>
        <w:tc>
          <w:tcPr>
            <w:tcW w:w="1142"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0.6</w:t>
            </w:r>
          </w:p>
        </w:tc>
        <w:tc>
          <w:tcPr>
            <w:tcW w:w="79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4.5</w:t>
            </w:r>
          </w:p>
        </w:tc>
        <w:tc>
          <w:tcPr>
            <w:tcW w:w="704"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4.5</w:t>
            </w:r>
          </w:p>
        </w:tc>
        <w:tc>
          <w:tcPr>
            <w:tcW w:w="94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6.0</w:t>
            </w:r>
          </w:p>
        </w:tc>
        <w:tc>
          <w:tcPr>
            <w:tcW w:w="966"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10.5</w:t>
            </w:r>
          </w:p>
        </w:tc>
        <w:tc>
          <w:tcPr>
            <w:tcW w:w="995"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w:t>
            </w:r>
          </w:p>
        </w:tc>
        <w:tc>
          <w:tcPr>
            <w:tcW w:w="1188"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0.3</w:t>
            </w:r>
          </w:p>
        </w:tc>
        <w:tc>
          <w:tcPr>
            <w:tcW w:w="821" w:type="dxa"/>
            <w:vAlign w:val="center"/>
          </w:tcPr>
          <w:p>
            <w:pPr>
              <w:pStyle w:val="18"/>
              <w:keepNext/>
              <w:keepLines/>
              <w:pageBreakBefore w:val="0"/>
              <w:widowControl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0.25</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0" w:firstLineChars="0"/>
        <w:textAlignment w:val="auto"/>
        <w:rPr>
          <w:rFonts w:hint="eastAsia" w:ascii="仿宋_GB2312" w:hAnsi="仿宋_GB2312" w:eastAsia="仿宋_GB2312" w:cs="仿宋_GB2312"/>
          <w:color w:val="auto"/>
          <w:sz w:val="24"/>
          <w:szCs w:val="24"/>
          <w:shd w:val="clear" w:color="auto" w:fill="auto"/>
          <w:lang w:val="en-US" w:eastAsia="en-US"/>
        </w:rPr>
      </w:pPr>
      <w:r>
        <w:rPr>
          <w:rFonts w:hint="eastAsia" w:ascii="仿宋_GB2312" w:hAnsi="仿宋_GB2312" w:eastAsia="仿宋_GB2312" w:cs="仿宋_GB2312"/>
          <w:color w:val="auto"/>
          <w:sz w:val="24"/>
          <w:szCs w:val="24"/>
          <w:shd w:val="clear" w:color="auto" w:fill="auto"/>
          <w:lang w:val="en-US" w:eastAsia="en-US"/>
        </w:rPr>
        <w:t>注：横跨道路或与无轨电车馈电线平行的架空电力线距地面应大于9米。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通信设施</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en-US"/>
        </w:rPr>
      </w:pPr>
      <w:r>
        <w:rPr>
          <w:rFonts w:hint="eastAsia" w:ascii="仿宋" w:hAnsi="仿宋" w:eastAsia="仿宋" w:cs="仿宋"/>
          <w:color w:val="auto"/>
          <w:sz w:val="30"/>
          <w:szCs w:val="30"/>
          <w:shd w:val="clear" w:color="auto" w:fill="auto"/>
          <w:lang w:val="en-US" w:eastAsia="zh-CN"/>
        </w:rPr>
        <w:t>1、移动通信基站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en-US"/>
        </w:rPr>
        <w:t>城市移动通信基站选址应避开幼儿园、医院等敏感场所；避开雷击区、大功率无线发射台、大功率电视发射台和大功率雷达站。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eastAsia="en-US"/>
        </w:rPr>
        <w:t>通信基站应统一规划、统一建设，具备条件的须共建共享。</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eastAsia="en-US"/>
        </w:rPr>
        <w:t>独立占地的基站，其天线、抱杆、机房的颜色和外观应与周边环境协调一致，并应符合下列规定：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en-US"/>
        </w:rPr>
        <w:t>基站与居住建筑的距离应大于20米</w:t>
      </w:r>
      <w:r>
        <w:rPr>
          <w:rFonts w:hint="eastAsia" w:ascii="仿宋" w:hAnsi="仿宋" w:eastAsia="仿宋" w:cs="仿宋"/>
          <w:color w:val="auto"/>
          <w:sz w:val="30"/>
          <w:szCs w:val="30"/>
          <w:shd w:val="clear" w:color="auto" w:fill="auto"/>
          <w:lang w:val="en-US" w:eastAsia="zh-CN"/>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eastAsia="en-US"/>
        </w:rPr>
        <w:t>在城市道路上新建基站，须距道路交叉口50米以上</w:t>
      </w:r>
      <w:r>
        <w:rPr>
          <w:rFonts w:hint="eastAsia" w:ascii="仿宋" w:hAnsi="仿宋" w:eastAsia="仿宋" w:cs="仿宋"/>
          <w:color w:val="auto"/>
          <w:sz w:val="30"/>
          <w:szCs w:val="30"/>
          <w:shd w:val="clear" w:color="auto" w:fill="auto"/>
          <w:lang w:val="en-US" w:eastAsia="zh-CN"/>
        </w:rPr>
        <w:t>，</w:t>
      </w:r>
      <w:r>
        <w:rPr>
          <w:rFonts w:hint="eastAsia" w:ascii="仿宋" w:hAnsi="仿宋" w:eastAsia="仿宋" w:cs="仿宋"/>
          <w:color w:val="auto"/>
          <w:sz w:val="30"/>
          <w:szCs w:val="30"/>
          <w:shd w:val="clear" w:color="auto" w:fill="auto"/>
          <w:lang w:val="en-US" w:eastAsia="en-US"/>
        </w:rPr>
        <w:t>不得占用道路机动车道、非机动车道、人行道的实际使用空间</w:t>
      </w:r>
      <w:r>
        <w:rPr>
          <w:rFonts w:hint="eastAsia" w:ascii="仿宋" w:hAnsi="仿宋" w:eastAsia="仿宋" w:cs="仿宋"/>
          <w:color w:val="auto"/>
          <w:sz w:val="30"/>
          <w:szCs w:val="30"/>
          <w:shd w:val="clear" w:color="auto" w:fill="auto"/>
          <w:lang w:val="en-US" w:eastAsia="zh-CN"/>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eastAsia="en-US"/>
        </w:rPr>
        <w:t>基站与电力设施、加油加气站、机场的安全距离应符合国家和行业对安全要求的规定且应大于塔高（含避雷针），距铁路线路路堤坡脚或铁路桥梁外侧</w:t>
      </w:r>
      <w:r>
        <w:rPr>
          <w:rFonts w:hint="eastAsia" w:ascii="仿宋" w:hAnsi="仿宋" w:eastAsia="仿宋" w:cs="仿宋"/>
          <w:color w:val="auto"/>
          <w:sz w:val="30"/>
          <w:szCs w:val="30"/>
          <w:shd w:val="clear" w:color="auto" w:fill="auto"/>
          <w:lang w:val="zh-CN" w:eastAsia="zh-CN"/>
        </w:rPr>
        <w:t>50</w:t>
      </w:r>
      <w:r>
        <w:rPr>
          <w:rFonts w:hint="eastAsia" w:ascii="仿宋" w:hAnsi="仿宋" w:eastAsia="仿宋" w:cs="仿宋"/>
          <w:color w:val="auto"/>
          <w:sz w:val="30"/>
          <w:szCs w:val="30"/>
          <w:shd w:val="clear" w:color="auto" w:fill="auto"/>
          <w:lang w:val="en-US" w:eastAsia="en-US"/>
        </w:rPr>
        <w:t>米以上</w:t>
      </w:r>
      <w:r>
        <w:rPr>
          <w:rFonts w:hint="eastAsia" w:ascii="仿宋" w:hAnsi="仿宋" w:eastAsia="仿宋" w:cs="仿宋"/>
          <w:color w:val="auto"/>
          <w:sz w:val="30"/>
          <w:szCs w:val="30"/>
          <w:shd w:val="clear" w:color="auto" w:fill="auto"/>
          <w:lang w:val="en-US" w:eastAsia="zh-CN"/>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4）</w:t>
      </w:r>
      <w:r>
        <w:rPr>
          <w:rFonts w:hint="eastAsia" w:ascii="仿宋_GB2312" w:hAnsi="仿宋_GB2312" w:eastAsia="仿宋_GB2312" w:cs="仿宋_GB2312"/>
          <w:color w:val="auto"/>
          <w:sz w:val="30"/>
          <w:szCs w:val="30"/>
          <w:shd w:val="clear" w:color="auto" w:fill="auto"/>
          <w:lang w:val="en-US" w:eastAsia="en-US"/>
        </w:rPr>
        <w:t>站址</w:t>
      </w:r>
      <w:r>
        <w:rPr>
          <w:rFonts w:hint="eastAsia" w:ascii="仿宋_GB2312" w:hAnsi="仿宋_GB2312" w:eastAsia="仿宋_GB2312" w:cs="仿宋_GB2312"/>
          <w:color w:val="auto"/>
          <w:sz w:val="30"/>
          <w:szCs w:val="30"/>
          <w:shd w:val="clear" w:color="auto" w:fill="auto"/>
          <w:lang w:val="en-US" w:eastAsia="en-US"/>
        </w:rPr>
        <w:t>不应选择</w:t>
      </w:r>
      <w:r>
        <w:rPr>
          <w:rFonts w:hint="eastAsia" w:ascii="仿宋_GB2312" w:hAnsi="仿宋_GB2312" w:eastAsia="仿宋_GB2312" w:cs="仿宋_GB2312"/>
          <w:color w:val="auto"/>
          <w:sz w:val="30"/>
          <w:szCs w:val="30"/>
          <w:shd w:val="clear" w:color="auto" w:fill="auto"/>
          <w:lang w:val="en-US" w:eastAsia="zh-CN"/>
        </w:rPr>
        <w:t>在河道管理范围内；</w:t>
      </w:r>
      <w:r>
        <w:rPr>
          <w:rFonts w:hint="eastAsia" w:ascii="仿宋_GB2312" w:hAnsi="仿宋_GB2312" w:eastAsia="仿宋_GB2312" w:cs="仿宋_GB2312"/>
          <w:color w:val="auto"/>
          <w:sz w:val="30"/>
          <w:szCs w:val="30"/>
          <w:shd w:val="clear" w:color="auto" w:fill="auto"/>
          <w:lang w:val="en-US" w:eastAsia="zh-CN"/>
        </w:rPr>
        <w:t>不应选择</w:t>
      </w:r>
      <w:r>
        <w:rPr>
          <w:rFonts w:hint="eastAsia" w:ascii="仿宋_GB2312" w:hAnsi="仿宋_GB2312" w:eastAsia="仿宋_GB2312" w:cs="仿宋_GB2312"/>
          <w:color w:val="auto"/>
          <w:sz w:val="30"/>
          <w:szCs w:val="30"/>
          <w:shd w:val="clear" w:color="auto" w:fill="auto"/>
          <w:lang w:val="en-US" w:eastAsia="en-US"/>
        </w:rPr>
        <w:t>在易受洪水淹没、地势低洼区域，如无法避开时，站址高程应高于设计洪水位0.5米以上</w:t>
      </w:r>
      <w:r>
        <w:rPr>
          <w:rFonts w:hint="eastAsia" w:ascii="仿宋_GB2312" w:hAnsi="仿宋_GB2312" w:eastAsia="仿宋_GB2312" w:cs="仿宋_GB2312"/>
          <w:color w:val="auto"/>
          <w:sz w:val="30"/>
          <w:szCs w:val="30"/>
          <w:shd w:val="clear" w:color="auto" w:fill="auto"/>
          <w:lang w:val="en-US" w:eastAsia="zh-CN"/>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zh-CN"/>
        </w:rPr>
        <w:t>（4）</w:t>
      </w:r>
      <w:r>
        <w:rPr>
          <w:rFonts w:hint="eastAsia" w:ascii="仿宋_GB2312" w:hAnsi="仿宋_GB2312" w:eastAsia="仿宋_GB2312" w:cs="仿宋_GB2312"/>
          <w:color w:val="auto"/>
          <w:sz w:val="30"/>
          <w:szCs w:val="30"/>
          <w:shd w:val="clear" w:color="auto" w:fill="auto"/>
          <w:lang w:val="en-US" w:eastAsia="en-US"/>
        </w:rPr>
        <w:t>广场、公园等城市重要景观地段和历史文物保护建筑范围内，不宜建设独立占地的基站，应结合建筑物或构筑物采取</w:t>
      </w:r>
      <w:r>
        <w:rPr>
          <w:rFonts w:hint="eastAsia" w:ascii="仿宋_GB2312" w:hAnsi="仿宋_GB2312" w:eastAsia="仿宋_GB2312" w:cs="仿宋_GB2312"/>
          <w:color w:val="auto"/>
          <w:sz w:val="30"/>
          <w:szCs w:val="30"/>
          <w:shd w:val="clear" w:color="auto" w:fill="auto"/>
          <w:lang w:val="en-US" w:eastAsia="zh-CN"/>
        </w:rPr>
        <w:t>敷设</w:t>
      </w:r>
      <w:r>
        <w:rPr>
          <w:rFonts w:hint="eastAsia" w:ascii="仿宋_GB2312" w:hAnsi="仿宋_GB2312" w:eastAsia="仿宋_GB2312" w:cs="仿宋_GB2312"/>
          <w:color w:val="auto"/>
          <w:sz w:val="30"/>
          <w:szCs w:val="30"/>
          <w:shd w:val="clear" w:color="auto" w:fill="auto"/>
          <w:lang w:val="en-US" w:eastAsia="en-US"/>
        </w:rPr>
        <w:t>形式，并隐蔽其天线。</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2、邮政通信</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en-US"/>
        </w:rPr>
        <w:t>邮政支局的用地面积可按1000～2000</w:t>
      </w:r>
      <w:r>
        <w:rPr>
          <w:rFonts w:hint="eastAsia" w:ascii="仿宋_GB2312" w:hAnsi="仿宋_GB2312" w:eastAsia="仿宋_GB2312" w:cs="仿宋_GB2312"/>
          <w:color w:val="auto"/>
          <w:sz w:val="30"/>
          <w:szCs w:val="30"/>
          <w:shd w:val="clear" w:color="auto" w:fill="auto"/>
          <w:lang w:val="en-US" w:eastAsia="zh-CN"/>
        </w:rPr>
        <w:t>平方米</w:t>
      </w:r>
      <w:r>
        <w:rPr>
          <w:rFonts w:hint="eastAsia" w:ascii="仿宋_GB2312" w:hAnsi="仿宋_GB2312" w:eastAsia="仿宋_GB2312" w:cs="仿宋_GB2312"/>
          <w:color w:val="auto"/>
          <w:sz w:val="30"/>
          <w:szCs w:val="30"/>
          <w:shd w:val="clear" w:color="auto" w:fill="auto"/>
          <w:lang w:val="en-US" w:eastAsia="en-US"/>
        </w:rPr>
        <w:t>，邮政所应设于建筑首层，建筑面积可按100～300</w:t>
      </w:r>
      <w:r>
        <w:rPr>
          <w:rFonts w:hint="eastAsia" w:ascii="仿宋_GB2312" w:hAnsi="仿宋_GB2312" w:eastAsia="仿宋_GB2312" w:cs="仿宋_GB2312"/>
          <w:color w:val="auto"/>
          <w:sz w:val="30"/>
          <w:szCs w:val="30"/>
          <w:shd w:val="clear" w:color="auto" w:fill="auto"/>
          <w:lang w:val="en-US" w:eastAsia="zh-CN"/>
        </w:rPr>
        <w:t>平方米</w:t>
      </w:r>
      <w:r>
        <w:rPr>
          <w:rFonts w:hint="eastAsia" w:ascii="仿宋_GB2312" w:hAnsi="仿宋_GB2312" w:eastAsia="仿宋_GB2312" w:cs="仿宋_GB2312"/>
          <w:color w:val="auto"/>
          <w:sz w:val="30"/>
          <w:szCs w:val="30"/>
          <w:shd w:val="clear" w:color="auto" w:fill="auto"/>
          <w:lang w:val="en-US" w:eastAsia="en-US"/>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3、城市广播电视</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_GB2312" w:hAnsi="仿宋_GB2312" w:eastAsia="仿宋_GB2312" w:cs="仿宋_GB2312"/>
          <w:color w:val="auto"/>
          <w:sz w:val="30"/>
          <w:szCs w:val="30"/>
          <w:shd w:val="clear" w:color="auto" w:fill="auto"/>
          <w:lang w:val="en-US" w:eastAsia="en-US"/>
        </w:rPr>
        <w:t>城市有线广播电视网络一级机房宜设于公共建筑底层，建筑面积宜为300～800</w:t>
      </w:r>
      <w:r>
        <w:rPr>
          <w:rFonts w:hint="eastAsia" w:ascii="仿宋_GB2312" w:hAnsi="仿宋_GB2312" w:eastAsia="仿宋_GB2312" w:cs="仿宋_GB2312"/>
          <w:color w:val="auto"/>
          <w:sz w:val="30"/>
          <w:szCs w:val="30"/>
          <w:shd w:val="clear" w:color="auto" w:fill="auto"/>
          <w:lang w:val="en-US" w:eastAsia="zh-CN"/>
        </w:rPr>
        <w:t>平方米</w:t>
      </w:r>
      <w:r>
        <w:rPr>
          <w:rFonts w:hint="eastAsia" w:ascii="仿宋_GB2312" w:hAnsi="仿宋_GB2312" w:eastAsia="仿宋_GB2312" w:cs="仿宋_GB2312"/>
          <w:color w:val="auto"/>
          <w:sz w:val="30"/>
          <w:szCs w:val="30"/>
          <w:shd w:val="clear" w:color="auto" w:fill="auto"/>
          <w:lang w:val="en-US" w:eastAsia="en-US"/>
        </w:rPr>
        <w:t>。</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液化</w:t>
      </w:r>
      <w:r>
        <w:rPr>
          <w:rFonts w:hint="eastAsia" w:ascii="仿宋_GB2312" w:hAnsi="仿宋_GB2312" w:eastAsia="仿宋_GB2312" w:cs="仿宋_GB2312"/>
          <w:color w:val="auto"/>
          <w:sz w:val="30"/>
          <w:szCs w:val="30"/>
          <w:shd w:val="clear" w:color="auto" w:fill="auto"/>
          <w:lang w:val="en-US" w:eastAsia="zh-CN"/>
        </w:rPr>
        <w:t>石油气储存站、储配站和灌装站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液化石油气储存站、储配站和灌装站应设置在相对独立的安全地带，并远离人员密集的地区。液化天然气接收站、分输站、门站和液化天然气储备库应设置在相对独立安全地带，宜靠近气源基地或长输管线。</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液化天然气调峰应急站和压缩天然气加气母站应设置在相对接近负荷中心、交通便利的独立安全地带。高压管网阀室应设置在交通便利、地形开阔和地势较高的安全地带。</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26" w:name="_Toc4615"/>
      <w:r>
        <w:rPr>
          <w:rFonts w:hint="eastAsia"/>
          <w:b w:val="0"/>
          <w:bCs/>
          <w:color w:val="auto"/>
          <w:shd w:val="clear" w:color="auto" w:fill="auto"/>
          <w:lang w:val="en-US" w:eastAsia="zh-CN"/>
        </w:rPr>
        <w:t>第二节  环卫设施</w:t>
      </w:r>
      <w:bookmarkEnd w:id="26"/>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城市环卫设施建设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_GB2312" w:hAnsi="仿宋_GB2312" w:eastAsia="仿宋_GB2312" w:cs="仿宋_GB2312"/>
          <w:color w:val="auto"/>
          <w:sz w:val="30"/>
          <w:szCs w:val="30"/>
          <w:shd w:val="clear" w:color="auto" w:fill="auto"/>
          <w:lang w:eastAsia="zh-CN"/>
        </w:rPr>
        <w:t>公共厕所设置</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zh-CN" w:eastAsia="zh-CN" w:bidi="zh-CN"/>
        </w:rPr>
        <w:t>（</w:t>
      </w:r>
      <w:r>
        <w:rPr>
          <w:rFonts w:hint="eastAsia" w:ascii="仿宋_GB2312" w:hAnsi="仿宋_GB2312" w:eastAsia="仿宋_GB2312" w:cs="仿宋_GB2312"/>
          <w:color w:val="auto"/>
          <w:kern w:val="2"/>
          <w:sz w:val="30"/>
          <w:szCs w:val="30"/>
          <w:shd w:val="clear" w:color="auto" w:fill="auto"/>
          <w:lang w:val="en-US" w:eastAsia="zh-CN" w:bidi="zh-CN"/>
        </w:rPr>
        <w:t>1</w:t>
      </w:r>
      <w:r>
        <w:rPr>
          <w:rFonts w:hint="eastAsia" w:ascii="仿宋_GB2312" w:hAnsi="仿宋_GB2312" w:eastAsia="仿宋_GB2312" w:cs="仿宋_GB2312"/>
          <w:color w:val="auto"/>
          <w:kern w:val="2"/>
          <w:sz w:val="30"/>
          <w:szCs w:val="30"/>
          <w:shd w:val="clear" w:color="auto" w:fill="auto"/>
          <w:lang w:val="zh-CN" w:eastAsia="zh-CN" w:bidi="zh-CN"/>
        </w:rPr>
        <w:t>）居住小区按6-10平方米／千人；</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zh-CN" w:eastAsia="zh-CN" w:bidi="zh-CN"/>
        </w:rPr>
        <w:t>（2）车站、机场、体育场（馆）、加油站及农贸市场按集散人流15-25平方米／千人；</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zh-CN" w:eastAsia="zh-CN" w:bidi="zh-CN"/>
        </w:rPr>
        <w:t>（</w:t>
      </w:r>
      <w:r>
        <w:rPr>
          <w:rFonts w:hint="eastAsia" w:ascii="仿宋_GB2312" w:hAnsi="仿宋_GB2312" w:eastAsia="仿宋_GB2312" w:cs="仿宋_GB2312"/>
          <w:color w:val="auto"/>
          <w:kern w:val="2"/>
          <w:sz w:val="30"/>
          <w:szCs w:val="30"/>
          <w:shd w:val="clear" w:color="auto" w:fill="auto"/>
          <w:lang w:val="en-US" w:eastAsia="zh-CN" w:bidi="zh-CN"/>
        </w:rPr>
        <w:t>3</w:t>
      </w:r>
      <w:r>
        <w:rPr>
          <w:rFonts w:hint="eastAsia" w:ascii="仿宋_GB2312" w:hAnsi="仿宋_GB2312" w:eastAsia="仿宋_GB2312" w:cs="仿宋_GB2312"/>
          <w:color w:val="auto"/>
          <w:kern w:val="2"/>
          <w:sz w:val="30"/>
          <w:szCs w:val="30"/>
          <w:shd w:val="clear" w:color="auto" w:fill="auto"/>
          <w:lang w:val="zh-CN" w:eastAsia="zh-CN" w:bidi="zh-CN"/>
        </w:rPr>
        <w:t>）购物中心、文化娱乐中心按10-20平方米／千人；</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zh-CN" w:eastAsia="zh-CN" w:bidi="zh-CN"/>
        </w:rPr>
        <w:t>（</w:t>
      </w:r>
      <w:r>
        <w:rPr>
          <w:rFonts w:hint="eastAsia" w:ascii="仿宋_GB2312" w:hAnsi="仿宋_GB2312" w:eastAsia="仿宋_GB2312" w:cs="仿宋_GB2312"/>
          <w:color w:val="auto"/>
          <w:kern w:val="2"/>
          <w:sz w:val="30"/>
          <w:szCs w:val="30"/>
          <w:shd w:val="clear" w:color="auto" w:fill="auto"/>
          <w:lang w:val="en-US" w:eastAsia="zh-CN" w:bidi="zh-CN"/>
        </w:rPr>
        <w:t>4</w:t>
      </w:r>
      <w:r>
        <w:rPr>
          <w:rFonts w:hint="eastAsia" w:ascii="仿宋_GB2312" w:hAnsi="仿宋_GB2312" w:eastAsia="仿宋_GB2312" w:cs="仿宋_GB2312"/>
          <w:color w:val="auto"/>
          <w:kern w:val="2"/>
          <w:sz w:val="30"/>
          <w:szCs w:val="30"/>
          <w:shd w:val="clear" w:color="auto" w:fill="auto"/>
          <w:lang w:val="zh-CN" w:eastAsia="zh-CN" w:bidi="zh-CN"/>
        </w:rPr>
        <w:t>）公共厕所设置按2500-3000人／座，建筑面积30-50平方米；</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（5）</w:t>
      </w:r>
      <w:r>
        <w:rPr>
          <w:rFonts w:hint="eastAsia" w:ascii="仿宋_GB2312" w:hAnsi="仿宋_GB2312" w:eastAsia="仿宋_GB2312" w:cs="仿宋_GB2312"/>
          <w:color w:val="auto"/>
          <w:kern w:val="2"/>
          <w:sz w:val="30"/>
          <w:szCs w:val="30"/>
          <w:shd w:val="clear" w:color="auto" w:fill="auto"/>
          <w:lang w:val="zh-CN" w:eastAsia="zh-CN" w:bidi="zh-CN"/>
        </w:rPr>
        <w:t>公共厕所相间距离或服务范围：主要繁华街道公共厕所之间的距离为300-500米，流动人口高密集的街道宜小于300米，一般街道公厕之间的距离约750-1000米为宜；</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zh-CN" w:eastAsia="zh-CN" w:bidi="zh-CN"/>
        </w:rPr>
        <w:t>（</w:t>
      </w:r>
      <w:r>
        <w:rPr>
          <w:rFonts w:hint="eastAsia" w:ascii="仿宋_GB2312" w:hAnsi="仿宋_GB2312" w:eastAsia="仿宋_GB2312" w:cs="仿宋_GB2312"/>
          <w:color w:val="auto"/>
          <w:kern w:val="2"/>
          <w:sz w:val="30"/>
          <w:szCs w:val="30"/>
          <w:shd w:val="clear" w:color="auto" w:fill="auto"/>
          <w:lang w:val="en-US" w:eastAsia="zh-CN" w:bidi="zh-CN"/>
        </w:rPr>
        <w:t>6</w:t>
      </w:r>
      <w:r>
        <w:rPr>
          <w:rFonts w:hint="eastAsia" w:ascii="仿宋_GB2312" w:hAnsi="仿宋_GB2312" w:eastAsia="仿宋_GB2312" w:cs="仿宋_GB2312"/>
          <w:color w:val="auto"/>
          <w:kern w:val="2"/>
          <w:sz w:val="30"/>
          <w:szCs w:val="30"/>
          <w:shd w:val="clear" w:color="auto" w:fill="auto"/>
          <w:lang w:val="zh-CN" w:eastAsia="zh-CN" w:bidi="zh-CN"/>
        </w:rPr>
        <w:t>）公共厕所位置应方便出入、便于粪便污水排放、公共厕所的化粪池和贮粪池与饮用水源的卫生防护距离不应小于30米，与地埋式生活饮用水贮水池的卫生防护距不小于10米。</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eastAsia="zh-CN"/>
        </w:rPr>
        <w:t>垃圾收集点</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en-US" w:eastAsia="zh-CN" w:bidi="zh-CN"/>
        </w:rPr>
      </w:pPr>
      <w:r>
        <w:rPr>
          <w:rFonts w:hint="eastAsia" w:ascii="仿宋_GB2312" w:hAnsi="仿宋_GB2312" w:eastAsia="仿宋_GB2312" w:cs="仿宋_GB2312"/>
          <w:color w:val="auto"/>
          <w:kern w:val="2"/>
          <w:sz w:val="30"/>
          <w:szCs w:val="30"/>
          <w:shd w:val="clear" w:color="auto" w:fill="auto"/>
          <w:lang w:val="zh-CN" w:eastAsia="zh-CN" w:bidi="zh-CN"/>
        </w:rPr>
        <w:t>（</w:t>
      </w:r>
      <w:r>
        <w:rPr>
          <w:rFonts w:hint="eastAsia" w:ascii="仿宋_GB2312" w:hAnsi="仿宋_GB2312" w:eastAsia="仿宋_GB2312" w:cs="仿宋_GB2312"/>
          <w:color w:val="auto"/>
          <w:kern w:val="2"/>
          <w:sz w:val="30"/>
          <w:szCs w:val="30"/>
          <w:shd w:val="clear" w:color="auto" w:fill="auto"/>
          <w:lang w:val="en-US" w:eastAsia="zh-CN" w:bidi="zh-CN"/>
        </w:rPr>
        <w:t>1</w:t>
      </w:r>
      <w:r>
        <w:rPr>
          <w:rFonts w:hint="eastAsia" w:ascii="仿宋_GB2312" w:hAnsi="仿宋_GB2312" w:eastAsia="仿宋_GB2312" w:cs="仿宋_GB2312"/>
          <w:color w:val="auto"/>
          <w:kern w:val="2"/>
          <w:sz w:val="30"/>
          <w:szCs w:val="30"/>
          <w:shd w:val="clear" w:color="auto" w:fill="auto"/>
          <w:lang w:val="zh-CN" w:eastAsia="zh-CN" w:bidi="zh-CN"/>
        </w:rPr>
        <w:t>）住宅小区生活垃圾收集点服务半径应小于或等于120米，</w:t>
      </w:r>
      <w:r>
        <w:rPr>
          <w:rFonts w:hint="eastAsia" w:ascii="仿宋_GB2312" w:hAnsi="仿宋_GB2312" w:eastAsia="仿宋_GB2312" w:cs="仿宋_GB2312"/>
          <w:color w:val="auto"/>
          <w:kern w:val="2"/>
          <w:sz w:val="30"/>
          <w:szCs w:val="30"/>
          <w:shd w:val="clear" w:color="auto" w:fill="auto"/>
          <w:lang w:val="en-US" w:eastAsia="zh-CN" w:bidi="zh-CN"/>
        </w:rPr>
        <w:t>用地面积不小于40平方米，周围的建筑间隔不小于5米；</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（2）</w:t>
      </w:r>
      <w:r>
        <w:rPr>
          <w:rFonts w:hint="eastAsia" w:ascii="仿宋" w:hAnsi="仿宋" w:eastAsia="仿宋" w:cs="仿宋"/>
          <w:color w:val="auto"/>
          <w:kern w:val="2"/>
          <w:sz w:val="30"/>
          <w:szCs w:val="30"/>
          <w:shd w:val="clear" w:color="auto" w:fill="auto"/>
          <w:lang w:val="zh-CN" w:eastAsia="zh-CN" w:bidi="zh-CN"/>
        </w:rPr>
        <w:t>交通客运设施、文体设施、步行街、广场、旅游景点（区）等人流聚集的公共场所应设置废物箱；</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（3）</w:t>
      </w:r>
      <w:r>
        <w:rPr>
          <w:rFonts w:hint="eastAsia" w:ascii="仿宋" w:hAnsi="仿宋" w:eastAsia="仿宋" w:cs="仿宋"/>
          <w:color w:val="auto"/>
          <w:kern w:val="2"/>
          <w:sz w:val="30"/>
          <w:szCs w:val="30"/>
          <w:shd w:val="clear" w:color="auto" w:fill="auto"/>
          <w:lang w:val="zh-CN" w:eastAsia="zh-CN" w:bidi="zh-CN"/>
        </w:rPr>
        <w:t>废物箱的设置间距：商业大街25-50米，交通干道50-80米，一般道路80</w:t>
      </w:r>
      <w:r>
        <w:rPr>
          <w:rFonts w:hint="eastAsia" w:ascii="仿宋" w:hAnsi="仿宋" w:eastAsia="仿宋" w:cs="仿宋"/>
          <w:color w:val="auto"/>
          <w:sz w:val="30"/>
          <w:szCs w:val="30"/>
          <w:shd w:val="clear" w:color="auto" w:fill="auto"/>
          <w:lang w:eastAsia="zh-CN"/>
        </w:rPr>
        <w:t>～</w:t>
      </w:r>
      <w:r>
        <w:rPr>
          <w:rFonts w:hint="eastAsia" w:ascii="仿宋" w:hAnsi="仿宋" w:eastAsia="仿宋" w:cs="仿宋"/>
          <w:color w:val="auto"/>
          <w:kern w:val="2"/>
          <w:sz w:val="30"/>
          <w:szCs w:val="30"/>
          <w:shd w:val="clear" w:color="auto" w:fill="auto"/>
          <w:lang w:val="zh-CN" w:eastAsia="zh-CN" w:bidi="zh-CN"/>
        </w:rPr>
        <w:t>100米；</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（4）</w:t>
      </w:r>
      <w:r>
        <w:rPr>
          <w:rFonts w:hint="eastAsia" w:ascii="仿宋" w:hAnsi="仿宋" w:eastAsia="仿宋" w:cs="仿宋"/>
          <w:color w:val="auto"/>
          <w:kern w:val="2"/>
          <w:sz w:val="30"/>
          <w:szCs w:val="30"/>
          <w:shd w:val="clear" w:color="auto" w:fill="auto"/>
          <w:lang w:val="zh-CN" w:eastAsia="zh-CN" w:bidi="zh-CN"/>
        </w:rPr>
        <w:t>垃圾收集点的位置应设置在既方便居民又不影响市容观瞻的非临街位置；</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（5）住宅小区的生活垃圾收集房(间)、民用建筑内附属配套的生活垃圾收集房(间)应有给水排水设施，生活垃圾收集房（间）地面坡度一般不应小于1％，地面硬化一般采用水泥硬化方式或铺设瓷砖硬化方式等。</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3、</w:t>
      </w:r>
      <w:r>
        <w:rPr>
          <w:rFonts w:hint="eastAsia" w:ascii="仿宋_GB2312" w:hAnsi="仿宋_GB2312" w:eastAsia="仿宋_GB2312" w:cs="仿宋_GB2312"/>
          <w:color w:val="auto"/>
          <w:kern w:val="2"/>
          <w:sz w:val="30"/>
          <w:szCs w:val="30"/>
          <w:shd w:val="clear" w:color="auto" w:fill="auto"/>
          <w:lang w:val="zh-CN" w:eastAsia="zh-CN" w:bidi="zh-CN"/>
        </w:rPr>
        <w:t>垃圾收集站、垃圾堆场设置</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（1）生活</w:t>
      </w:r>
      <w:r>
        <w:rPr>
          <w:rFonts w:hint="eastAsia" w:ascii="仿宋_GB2312" w:hAnsi="仿宋_GB2312" w:eastAsia="仿宋_GB2312" w:cs="仿宋_GB2312"/>
          <w:color w:val="auto"/>
          <w:kern w:val="2"/>
          <w:sz w:val="30"/>
          <w:szCs w:val="30"/>
          <w:shd w:val="clear" w:color="auto" w:fill="auto"/>
          <w:lang w:val="zh-CN" w:eastAsia="zh-CN" w:bidi="zh-CN"/>
        </w:rPr>
        <w:t>垃圾收集站应有主体建筑，主体建筑应封闭；</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（2）</w:t>
      </w:r>
      <w:r>
        <w:rPr>
          <w:rFonts w:hint="eastAsia" w:ascii="仿宋_GB2312" w:hAnsi="仿宋_GB2312" w:eastAsia="仿宋_GB2312" w:cs="仿宋_GB2312"/>
          <w:color w:val="auto"/>
          <w:kern w:val="2"/>
          <w:sz w:val="30"/>
          <w:szCs w:val="30"/>
          <w:shd w:val="clear" w:color="auto" w:fill="auto"/>
          <w:lang w:val="zh-CN" w:eastAsia="zh-CN" w:bidi="zh-CN"/>
        </w:rPr>
        <w:t>生活垃圾收集站应设置收运机动车进出通道，通道应符合进站车辆的最大宽度及荷载要求；</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（3）</w:t>
      </w:r>
      <w:r>
        <w:rPr>
          <w:rFonts w:hint="eastAsia" w:ascii="仿宋_GB2312" w:hAnsi="仿宋_GB2312" w:eastAsia="仿宋_GB2312" w:cs="仿宋_GB2312"/>
          <w:color w:val="auto"/>
          <w:kern w:val="2"/>
          <w:sz w:val="30"/>
          <w:szCs w:val="30"/>
          <w:shd w:val="clear" w:color="auto" w:fill="auto"/>
          <w:lang w:val="zh-CN" w:eastAsia="zh-CN" w:bidi="zh-CN"/>
        </w:rPr>
        <w:t>采用非机动车收运方式时，生活垃圾转运站服务半径宜为400～1000米；采用小型机动车收运方式时，其服务半径宜为2000～4000米；</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（4）</w:t>
      </w:r>
      <w:r>
        <w:rPr>
          <w:rFonts w:hint="eastAsia" w:ascii="仿宋_GB2312" w:hAnsi="仿宋_GB2312" w:eastAsia="仿宋_GB2312" w:cs="仿宋_GB2312"/>
          <w:color w:val="auto"/>
          <w:kern w:val="2"/>
          <w:sz w:val="30"/>
          <w:szCs w:val="30"/>
          <w:shd w:val="clear" w:color="auto" w:fill="auto"/>
          <w:lang w:val="zh-CN" w:eastAsia="zh-CN" w:bidi="zh-CN"/>
        </w:rPr>
        <w:t>大于5000人的居住小区及规模较大的商业综合体可单独设置收集站；</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eastAsia" w:ascii="仿宋_GB2312" w:hAnsi="仿宋_GB2312" w:eastAsia="仿宋_GB2312" w:cs="仿宋_GB2312"/>
          <w:color w:val="auto"/>
          <w:kern w:val="2"/>
          <w:sz w:val="30"/>
          <w:szCs w:val="30"/>
          <w:shd w:val="clear" w:color="auto" w:fill="auto"/>
          <w:lang w:val="zh-CN" w:eastAsia="zh-CN" w:bidi="zh-CN"/>
        </w:rPr>
      </w:pPr>
      <w:r>
        <w:rPr>
          <w:rFonts w:hint="eastAsia" w:ascii="仿宋_GB2312" w:hAnsi="仿宋_GB2312" w:eastAsia="仿宋_GB2312" w:cs="仿宋_GB2312"/>
          <w:color w:val="auto"/>
          <w:kern w:val="2"/>
          <w:sz w:val="30"/>
          <w:szCs w:val="30"/>
          <w:shd w:val="clear" w:color="auto" w:fill="auto"/>
          <w:lang w:val="en-US" w:eastAsia="zh-CN" w:bidi="zh-CN"/>
        </w:rPr>
        <w:t>（5）</w:t>
      </w:r>
      <w:r>
        <w:rPr>
          <w:rFonts w:hint="eastAsia" w:ascii="仿宋_GB2312" w:hAnsi="仿宋_GB2312" w:eastAsia="仿宋_GB2312" w:cs="仿宋_GB2312"/>
          <w:color w:val="auto"/>
          <w:kern w:val="2"/>
          <w:sz w:val="30"/>
          <w:szCs w:val="30"/>
          <w:shd w:val="clear" w:color="auto" w:fill="auto"/>
          <w:lang w:val="zh-CN" w:eastAsia="zh-CN" w:bidi="zh-CN"/>
        </w:rPr>
        <w:t>收集站的用地指标应符合表</w:t>
      </w:r>
      <w:r>
        <w:rPr>
          <w:rFonts w:hint="eastAsia" w:ascii="仿宋_GB2312" w:hAnsi="仿宋_GB2312" w:eastAsia="仿宋_GB2312" w:cs="仿宋_GB2312"/>
          <w:color w:val="auto"/>
          <w:kern w:val="2"/>
          <w:sz w:val="30"/>
          <w:szCs w:val="30"/>
          <w:shd w:val="clear" w:color="auto" w:fill="auto"/>
          <w:lang w:val="en-US" w:eastAsia="zh-CN" w:bidi="zh-CN"/>
        </w:rPr>
        <w:t>6.5</w:t>
      </w:r>
      <w:r>
        <w:rPr>
          <w:rFonts w:hint="eastAsia" w:ascii="仿宋_GB2312" w:hAnsi="仿宋_GB2312" w:eastAsia="仿宋_GB2312" w:cs="仿宋_GB2312"/>
          <w:color w:val="auto"/>
          <w:kern w:val="2"/>
          <w:sz w:val="30"/>
          <w:szCs w:val="30"/>
          <w:shd w:val="clear" w:color="auto" w:fill="auto"/>
          <w:lang w:val="zh-CN" w:eastAsia="zh-CN" w:bidi="zh-CN"/>
        </w:rPr>
        <w:t>的规定；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562" w:firstLineChars="200"/>
        <w:jc w:val="center"/>
        <w:textAlignment w:val="auto"/>
        <w:rPr>
          <w:rFonts w:hint="default" w:ascii="仿宋_GB2312" w:hAnsi="仿宋_GB2312" w:eastAsia="仿宋_GB2312" w:cs="仿宋_GB2312"/>
          <w:color w:val="auto"/>
          <w:sz w:val="30"/>
          <w:szCs w:val="30"/>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 xml:space="preserve">6.5  </w:t>
      </w:r>
      <w:r>
        <w:rPr>
          <w:rFonts w:hint="eastAsia" w:ascii="仿宋_GB2312" w:hAnsi="仿宋_GB2312" w:eastAsia="仿宋_GB2312" w:cs="仿宋_GB2312"/>
          <w:b/>
          <w:bCs/>
          <w:color w:val="auto"/>
          <w:sz w:val="28"/>
          <w:szCs w:val="28"/>
          <w:shd w:val="clear" w:color="auto" w:fill="auto"/>
          <w:lang w:eastAsia="zh-CN"/>
        </w:rPr>
        <w:t>收集站用地指标</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5"/>
        <w:gridCol w:w="3105"/>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vertAlign w:val="baseline"/>
                <w:lang w:eastAsia="zh-CN"/>
              </w:rPr>
            </w:pPr>
            <w:r>
              <w:rPr>
                <w:rFonts w:hint="eastAsia" w:ascii="仿宋" w:hAnsi="仿宋" w:eastAsia="仿宋" w:cs="仿宋"/>
                <w:b/>
                <w:bCs/>
                <w:color w:val="auto"/>
                <w:sz w:val="24"/>
                <w:szCs w:val="24"/>
                <w:shd w:val="clear" w:color="auto" w:fill="auto"/>
                <w:vertAlign w:val="baseline"/>
                <w:lang w:eastAsia="zh-CN"/>
              </w:rPr>
              <w:t>规模（</w:t>
            </w:r>
            <w:r>
              <w:rPr>
                <w:rFonts w:hint="eastAsia" w:ascii="仿宋" w:hAnsi="仿宋" w:eastAsia="仿宋" w:cs="仿宋"/>
                <w:b/>
                <w:bCs/>
                <w:color w:val="auto"/>
                <w:sz w:val="24"/>
                <w:szCs w:val="24"/>
                <w:shd w:val="clear" w:color="auto" w:fill="auto"/>
                <w:vertAlign w:val="baseline"/>
                <w:lang w:val="en-US" w:eastAsia="zh-CN"/>
              </w:rPr>
              <w:t>t/d</w:t>
            </w:r>
            <w:r>
              <w:rPr>
                <w:rFonts w:hint="eastAsia" w:ascii="仿宋" w:hAnsi="仿宋" w:eastAsia="仿宋" w:cs="仿宋"/>
                <w:b/>
                <w:bCs/>
                <w:color w:val="auto"/>
                <w:sz w:val="24"/>
                <w:szCs w:val="24"/>
                <w:shd w:val="clear" w:color="auto" w:fill="auto"/>
                <w:vertAlign w:val="baseline"/>
                <w:lang w:eastAsia="zh-CN"/>
              </w:rPr>
              <w:t>）</w:t>
            </w:r>
          </w:p>
        </w:tc>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vertAlign w:val="baseline"/>
                <w:lang w:eastAsia="zh-CN"/>
              </w:rPr>
            </w:pPr>
            <w:r>
              <w:rPr>
                <w:rFonts w:hint="eastAsia" w:ascii="仿宋" w:hAnsi="仿宋" w:eastAsia="仿宋" w:cs="仿宋"/>
                <w:b/>
                <w:bCs/>
                <w:color w:val="auto"/>
                <w:sz w:val="24"/>
                <w:szCs w:val="24"/>
                <w:shd w:val="clear" w:color="auto" w:fill="auto"/>
                <w:vertAlign w:val="baseline"/>
                <w:lang w:eastAsia="zh-CN"/>
              </w:rPr>
              <w:t>用地面积（</w:t>
            </w:r>
            <w:r>
              <w:rPr>
                <w:rFonts w:hint="eastAsia" w:ascii="仿宋" w:hAnsi="仿宋" w:eastAsia="仿宋" w:cs="仿宋"/>
                <w:b/>
                <w:bCs/>
                <w:color w:val="auto"/>
                <w:sz w:val="24"/>
                <w:szCs w:val="24"/>
                <w:shd w:val="clear" w:color="auto" w:fill="auto"/>
                <w:lang w:val="en-US" w:eastAsia="zh-CN"/>
              </w:rPr>
              <w:t>m</w:t>
            </w:r>
            <w:r>
              <w:rPr>
                <w:rFonts w:hint="eastAsia" w:ascii="仿宋" w:hAnsi="仿宋" w:eastAsia="仿宋" w:cs="仿宋"/>
                <w:b/>
                <w:bCs/>
                <w:color w:val="auto"/>
                <w:sz w:val="24"/>
                <w:szCs w:val="24"/>
                <w:shd w:val="clear" w:color="auto" w:fill="auto"/>
                <w:vertAlign w:val="superscript"/>
                <w:lang w:val="en-US" w:eastAsia="zh-CN"/>
              </w:rPr>
              <w:t>2</w:t>
            </w:r>
            <w:r>
              <w:rPr>
                <w:rFonts w:hint="eastAsia" w:ascii="仿宋" w:hAnsi="仿宋" w:eastAsia="仿宋" w:cs="仿宋"/>
                <w:b/>
                <w:bCs/>
                <w:color w:val="auto"/>
                <w:sz w:val="24"/>
                <w:szCs w:val="24"/>
                <w:shd w:val="clear" w:color="auto" w:fill="auto"/>
                <w:vertAlign w:val="baseline"/>
                <w:lang w:eastAsia="zh-CN"/>
              </w:rPr>
              <w:t>）</w:t>
            </w:r>
          </w:p>
        </w:tc>
        <w:tc>
          <w:tcPr>
            <w:tcW w:w="3106"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vertAlign w:val="baseline"/>
                <w:lang w:eastAsia="zh-CN"/>
              </w:rPr>
            </w:pPr>
            <w:r>
              <w:rPr>
                <w:rFonts w:hint="eastAsia" w:ascii="仿宋" w:hAnsi="仿宋" w:eastAsia="仿宋" w:cs="仿宋"/>
                <w:b/>
                <w:bCs/>
                <w:color w:val="auto"/>
                <w:sz w:val="24"/>
                <w:szCs w:val="24"/>
                <w:shd w:val="clear" w:color="auto" w:fill="auto"/>
                <w:vertAlign w:val="baseline"/>
                <w:lang w:eastAsia="zh-CN"/>
              </w:rPr>
              <w:t>与相邻建筑间距（</w:t>
            </w:r>
            <w:r>
              <w:rPr>
                <w:rFonts w:hint="eastAsia" w:ascii="仿宋" w:hAnsi="仿宋" w:eastAsia="仿宋" w:cs="仿宋"/>
                <w:b/>
                <w:bCs/>
                <w:color w:val="auto"/>
                <w:sz w:val="24"/>
                <w:szCs w:val="24"/>
                <w:shd w:val="clear" w:color="auto" w:fill="auto"/>
                <w:vertAlign w:val="baseline"/>
                <w:lang w:val="en-US" w:eastAsia="zh-CN"/>
              </w:rPr>
              <w:t>m</w:t>
            </w:r>
            <w:r>
              <w:rPr>
                <w:rFonts w:hint="eastAsia" w:ascii="仿宋" w:hAnsi="仿宋" w:eastAsia="仿宋" w:cs="仿宋"/>
                <w:b/>
                <w:bCs/>
                <w:color w:val="auto"/>
                <w:sz w:val="24"/>
                <w:szCs w:val="24"/>
                <w:shd w:val="clear" w:color="auto" w:fill="auto"/>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20-30</w:t>
            </w:r>
          </w:p>
        </w:tc>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300-400</w:t>
            </w:r>
          </w:p>
        </w:tc>
        <w:tc>
          <w:tcPr>
            <w:tcW w:w="3106"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eastAsia="zh-CN"/>
              </w:rPr>
              <w:t>≥</w:t>
            </w:r>
            <w:r>
              <w:rPr>
                <w:rFonts w:hint="eastAsia" w:ascii="仿宋" w:hAnsi="仿宋" w:eastAsia="仿宋" w:cs="仿宋"/>
                <w:color w:val="auto"/>
                <w:sz w:val="24"/>
                <w:szCs w:val="24"/>
                <w:shd w:val="clear" w:color="auto" w:fil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10-20</w:t>
            </w:r>
          </w:p>
        </w:tc>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200-300</w:t>
            </w:r>
          </w:p>
        </w:tc>
        <w:tc>
          <w:tcPr>
            <w:tcW w:w="3106"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eastAsia="zh-CN"/>
              </w:rPr>
              <w:t>≥</w:t>
            </w:r>
            <w:r>
              <w:rPr>
                <w:rFonts w:hint="eastAsia" w:ascii="仿宋" w:hAnsi="仿宋" w:eastAsia="仿宋" w:cs="仿宋"/>
                <w:color w:val="auto"/>
                <w:sz w:val="24"/>
                <w:szCs w:val="24"/>
                <w:shd w:val="clear" w:color="auto" w:fill="auto"/>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eastAsia="zh-CN"/>
              </w:rPr>
              <w:t>≤</w:t>
            </w:r>
            <w:r>
              <w:rPr>
                <w:rFonts w:hint="eastAsia" w:ascii="仿宋" w:hAnsi="仿宋" w:eastAsia="仿宋" w:cs="仿宋"/>
                <w:color w:val="auto"/>
                <w:sz w:val="24"/>
                <w:szCs w:val="24"/>
                <w:shd w:val="clear" w:color="auto" w:fill="auto"/>
                <w:vertAlign w:val="baseline"/>
                <w:lang w:val="en-US" w:eastAsia="zh-CN"/>
              </w:rPr>
              <w:t>10</w:t>
            </w:r>
          </w:p>
        </w:tc>
        <w:tc>
          <w:tcPr>
            <w:tcW w:w="3105"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val="en-US" w:eastAsia="zh-CN"/>
              </w:rPr>
              <w:t>120-200</w:t>
            </w:r>
          </w:p>
        </w:tc>
        <w:tc>
          <w:tcPr>
            <w:tcW w:w="3106" w:type="dxa"/>
            <w:vAlign w:val="center"/>
          </w:tcPr>
          <w:p>
            <w:pPr>
              <w:pStyle w:val="6"/>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vertAlign w:val="baseline"/>
                <w:lang w:val="en-US" w:eastAsia="zh-CN"/>
              </w:rPr>
            </w:pPr>
            <w:r>
              <w:rPr>
                <w:rFonts w:hint="eastAsia" w:ascii="仿宋" w:hAnsi="仿宋" w:eastAsia="仿宋" w:cs="仿宋"/>
                <w:color w:val="auto"/>
                <w:sz w:val="24"/>
                <w:szCs w:val="24"/>
                <w:shd w:val="clear" w:color="auto" w:fill="auto"/>
                <w:vertAlign w:val="baseline"/>
                <w:lang w:eastAsia="zh-CN"/>
              </w:rPr>
              <w:t>≥</w:t>
            </w:r>
            <w:r>
              <w:rPr>
                <w:rFonts w:hint="eastAsia" w:ascii="仿宋" w:hAnsi="仿宋" w:eastAsia="仿宋" w:cs="仿宋"/>
                <w:color w:val="auto"/>
                <w:sz w:val="24"/>
                <w:szCs w:val="24"/>
                <w:shd w:val="clear" w:color="auto" w:fill="auto"/>
                <w:vertAlign w:val="baseline"/>
                <w:lang w:val="en-US" w:eastAsia="zh-CN"/>
              </w:rPr>
              <w:t>8</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注:1、带有分类收集功能或环卫工人休息功能的收集站，应适当增加占地面积；</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630" w:firstLineChars="300"/>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lang w:val="en-US" w:eastAsia="zh-CN"/>
        </w:rPr>
        <w:t>2、与相邻建筑间隔自收集站外墙起计算。</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200" w:right="0" w:rightChars="0"/>
        <w:textAlignment w:val="auto"/>
        <w:rPr>
          <w:rFonts w:hint="eastAsia" w:ascii="仿宋" w:hAnsi="仿宋" w:eastAsia="仿宋" w:cs="仿宋"/>
          <w:color w:val="auto"/>
          <w:sz w:val="21"/>
          <w:szCs w:val="21"/>
          <w:shd w:val="clear" w:color="auto" w:fill="auto"/>
          <w:lang w:eastAsia="zh-CN"/>
        </w:rPr>
      </w:pP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（6）城市生活垃圾堆场应设置在城市郊区，拟选位置应注意城市风向，避开城市水源保护范围及地质灾害地区。垃圾堆场应设置围墙、道路、绿化和管理用房，应具备环境保护的处理措施，使用时间不少于10年。</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default"/>
          <w:b w:val="0"/>
          <w:bCs/>
          <w:color w:val="auto"/>
          <w:shd w:val="clear" w:color="auto" w:fill="auto"/>
          <w:lang w:val="en-US" w:eastAsia="zh-CN"/>
        </w:rPr>
      </w:pPr>
      <w:bookmarkStart w:id="27" w:name="_Toc28281"/>
      <w:r>
        <w:rPr>
          <w:rFonts w:hint="eastAsia"/>
          <w:b w:val="0"/>
          <w:bCs/>
          <w:color w:val="auto"/>
          <w:shd w:val="clear" w:color="auto" w:fill="auto"/>
          <w:lang w:val="en-US" w:eastAsia="zh-CN"/>
        </w:rPr>
        <w:t>第三节  排水设施</w:t>
      </w:r>
      <w:bookmarkEnd w:id="27"/>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排水防涝</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strike w:val="0"/>
          <w:dstrike w:val="0"/>
          <w:color w:val="auto"/>
          <w:sz w:val="30"/>
          <w:szCs w:val="30"/>
          <w:shd w:val="clear" w:color="auto" w:fill="auto"/>
          <w:lang w:eastAsia="zh-CN"/>
        </w:rPr>
      </w:pPr>
      <w:r>
        <w:rPr>
          <w:rFonts w:hint="eastAsia" w:ascii="仿宋_GB2312" w:hAnsi="仿宋_GB2312" w:eastAsia="仿宋_GB2312" w:cs="仿宋_GB2312"/>
          <w:strike w:val="0"/>
          <w:dstrike w:val="0"/>
          <w:color w:val="auto"/>
          <w:sz w:val="30"/>
          <w:szCs w:val="30"/>
          <w:shd w:val="clear" w:color="auto" w:fill="auto"/>
          <w:lang w:val="en-US" w:eastAsia="zh-CN"/>
        </w:rPr>
        <w:t>1、</w:t>
      </w:r>
      <w:r>
        <w:rPr>
          <w:rFonts w:hint="eastAsia" w:ascii="仿宋_GB2312" w:hAnsi="仿宋_GB2312" w:eastAsia="仿宋_GB2312" w:cs="仿宋_GB2312"/>
          <w:strike w:val="0"/>
          <w:dstrike w:val="0"/>
          <w:color w:val="auto"/>
          <w:sz w:val="30"/>
          <w:szCs w:val="30"/>
          <w:shd w:val="clear" w:color="auto" w:fill="auto"/>
          <w:lang w:eastAsia="zh-CN"/>
        </w:rPr>
        <w:t>污水处理厂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6.6  城市污水厂卫生防护距离一览表</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201"/>
        <w:gridCol w:w="2328"/>
        <w:gridCol w:w="1892"/>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6" w:hRule="exact"/>
          <w:jc w:val="center"/>
        </w:trPr>
        <w:tc>
          <w:tcPr>
            <w:tcW w:w="1755"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建设规模（万</w:t>
            </w:r>
            <w:r>
              <w:rPr>
                <w:rFonts w:hint="eastAsia" w:ascii="仿宋" w:hAnsi="仿宋" w:eastAsia="仿宋" w:cs="仿宋"/>
                <w:b/>
                <w:bCs/>
                <w:color w:val="auto"/>
                <w:w w:val="105"/>
                <w:sz w:val="24"/>
                <w:szCs w:val="24"/>
                <w:shd w:val="clear" w:color="auto" w:fill="auto"/>
                <w:lang w:val="en-US" w:eastAsia="zh-CN"/>
              </w:rPr>
              <w:t>m</w:t>
            </w:r>
            <w:r>
              <w:rPr>
                <w:rFonts w:hint="eastAsia" w:ascii="仿宋" w:hAnsi="仿宋" w:eastAsia="仿宋" w:cs="仿宋"/>
                <w:b/>
                <w:bCs/>
                <w:color w:val="auto"/>
                <w:w w:val="105"/>
                <w:sz w:val="24"/>
                <w:szCs w:val="24"/>
                <w:shd w:val="clear" w:color="auto" w:fill="auto"/>
                <w:vertAlign w:val="superscript"/>
                <w:lang w:val="en-US" w:eastAsia="zh-CN"/>
              </w:rPr>
              <w:t>3</w:t>
            </w:r>
            <w:r>
              <w:rPr>
                <w:rFonts w:hint="eastAsia" w:ascii="仿宋" w:hAnsi="仿宋" w:eastAsia="仿宋" w:cs="仿宋"/>
                <w:b/>
                <w:bCs/>
                <w:color w:val="auto"/>
                <w:w w:val="105"/>
                <w:sz w:val="24"/>
                <w:szCs w:val="24"/>
                <w:shd w:val="clear" w:color="auto" w:fill="auto"/>
                <w:lang w:val="en-US" w:eastAsia="en-US"/>
              </w:rPr>
              <w:t>/d）</w:t>
            </w:r>
          </w:p>
        </w:tc>
        <w:tc>
          <w:tcPr>
            <w:tcW w:w="1276"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≤5</w:t>
            </w:r>
          </w:p>
        </w:tc>
        <w:tc>
          <w:tcPr>
            <w:tcW w:w="1037"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5-10</w:t>
            </w:r>
          </w:p>
        </w:tc>
        <w:tc>
          <w:tcPr>
            <w:tcW w:w="930"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1" w:hRule="exact"/>
          <w:jc w:val="center"/>
        </w:trPr>
        <w:tc>
          <w:tcPr>
            <w:tcW w:w="1755"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卫生防护距离（m）</w:t>
            </w:r>
          </w:p>
        </w:tc>
        <w:tc>
          <w:tcPr>
            <w:tcW w:w="1276"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150</w:t>
            </w:r>
          </w:p>
        </w:tc>
        <w:tc>
          <w:tcPr>
            <w:tcW w:w="1037"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200</w:t>
            </w:r>
          </w:p>
        </w:tc>
        <w:tc>
          <w:tcPr>
            <w:tcW w:w="930" w:type="pct"/>
            <w:tcBorders>
              <w:tl2br w:val="nil"/>
              <w:tr2bl w:val="nil"/>
            </w:tcBorders>
            <w:shd w:val="clear" w:color="auto" w:fill="FFFFFF"/>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300</w:t>
            </w:r>
          </w:p>
        </w:tc>
      </w:tr>
    </w:tbl>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en-US"/>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eastAsia="en-US"/>
        </w:rPr>
        <w:t>污水泵站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en-US"/>
        </w:rPr>
      </w:pPr>
      <w:r>
        <w:rPr>
          <w:rFonts w:hint="eastAsia" w:ascii="仿宋" w:hAnsi="仿宋" w:eastAsia="仿宋" w:cs="仿宋"/>
          <w:color w:val="auto"/>
          <w:sz w:val="30"/>
          <w:szCs w:val="30"/>
          <w:shd w:val="clear" w:color="auto" w:fill="auto"/>
          <w:lang w:val="en-US" w:eastAsia="en-US"/>
        </w:rPr>
        <w:t>新建污水泵站用地指标宜按表</w:t>
      </w:r>
      <w:r>
        <w:rPr>
          <w:rFonts w:hint="eastAsia" w:ascii="仿宋" w:hAnsi="仿宋" w:eastAsia="仿宋" w:cs="仿宋"/>
          <w:color w:val="auto"/>
          <w:sz w:val="30"/>
          <w:szCs w:val="30"/>
          <w:shd w:val="clear" w:color="auto" w:fill="auto"/>
          <w:lang w:val="en-US" w:eastAsia="zh-CN"/>
        </w:rPr>
        <w:t>6.7</w:t>
      </w:r>
      <w:r>
        <w:rPr>
          <w:rFonts w:hint="eastAsia" w:ascii="仿宋" w:hAnsi="仿宋" w:eastAsia="仿宋" w:cs="仿宋"/>
          <w:color w:val="auto"/>
          <w:sz w:val="30"/>
          <w:szCs w:val="30"/>
          <w:shd w:val="clear" w:color="auto" w:fill="auto"/>
          <w:lang w:val="en-US" w:eastAsia="en-US"/>
        </w:rPr>
        <w:t>执行，污水泵站周围（泵站用地内）宜设置宽度不小于10米的绿化带，并满足卫生、环保等部门的要求。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en-US"/>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 xml:space="preserve">6.7  </w:t>
      </w:r>
      <w:r>
        <w:rPr>
          <w:rFonts w:hint="eastAsia" w:ascii="仿宋" w:hAnsi="仿宋" w:eastAsia="仿宋" w:cs="仿宋"/>
          <w:b/>
          <w:color w:val="auto"/>
          <w:sz w:val="28"/>
          <w:szCs w:val="28"/>
          <w:shd w:val="clear" w:color="auto" w:fill="auto"/>
          <w:lang w:val="en-US" w:eastAsia="en-US"/>
        </w:rPr>
        <w:t>污水泵站建设用地指标</w:t>
      </w:r>
    </w:p>
    <w:tbl>
      <w:tblPr>
        <w:tblStyle w:val="1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80"/>
        <w:gridCol w:w="2279"/>
        <w:gridCol w:w="2279"/>
        <w:gridCol w:w="2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386"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建设规模（万m³/d）</w:t>
            </w:r>
          </w:p>
        </w:tc>
        <w:tc>
          <w:tcPr>
            <w:tcW w:w="2384"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＞20</w:t>
            </w:r>
          </w:p>
        </w:tc>
        <w:tc>
          <w:tcPr>
            <w:tcW w:w="2384"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10～20</w:t>
            </w:r>
          </w:p>
        </w:tc>
        <w:tc>
          <w:tcPr>
            <w:tcW w:w="2384"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86"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用地指标（㎡）</w:t>
            </w:r>
          </w:p>
        </w:tc>
        <w:tc>
          <w:tcPr>
            <w:tcW w:w="2384"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3500～7500</w:t>
            </w:r>
          </w:p>
        </w:tc>
        <w:tc>
          <w:tcPr>
            <w:tcW w:w="2384"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2500～3500</w:t>
            </w:r>
          </w:p>
        </w:tc>
        <w:tc>
          <w:tcPr>
            <w:tcW w:w="2384" w:type="dxa"/>
            <w:vAlign w:val="top"/>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800～2500</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注：1、用地指标是按</w:t>
      </w:r>
      <w:r>
        <w:rPr>
          <w:rFonts w:hint="eastAsia" w:ascii="仿宋" w:hAnsi="仿宋" w:eastAsia="仿宋" w:cs="仿宋"/>
          <w:color w:val="auto"/>
          <w:sz w:val="21"/>
          <w:szCs w:val="21"/>
          <w:shd w:val="clear" w:color="auto" w:fill="auto"/>
          <w:lang w:val="en-US" w:eastAsia="zh-CN"/>
        </w:rPr>
        <w:t>生产必需的</w:t>
      </w:r>
      <w:r>
        <w:rPr>
          <w:rFonts w:hint="eastAsia" w:ascii="仿宋" w:hAnsi="仿宋" w:eastAsia="仿宋" w:cs="仿宋"/>
          <w:color w:val="auto"/>
          <w:sz w:val="21"/>
          <w:szCs w:val="21"/>
          <w:shd w:val="clear" w:color="auto" w:fill="auto"/>
          <w:lang w:val="en-US" w:eastAsia="en-US"/>
        </w:rPr>
        <w:t>土地面积。</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2、污水泵站规模按最大秒流量计。</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3、本指标未包括站区周围绿化带用地。</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0" w:firstLineChars="0"/>
        <w:textAlignment w:val="auto"/>
        <w:rPr>
          <w:rFonts w:hint="eastAsia" w:ascii="仿宋" w:hAnsi="仿宋" w:eastAsia="仿宋" w:cs="仿宋"/>
          <w:color w:val="auto"/>
          <w:sz w:val="21"/>
          <w:szCs w:val="21"/>
          <w:shd w:val="clear" w:color="auto" w:fill="auto"/>
          <w:lang w:val="en-US" w:eastAsia="zh-CN"/>
        </w:rPr>
      </w:pP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eastAsia="en-US"/>
        </w:rPr>
        <w:t>雨水泵站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雨水泵站用地指标宜按表</w:t>
      </w:r>
      <w:r>
        <w:rPr>
          <w:rFonts w:hint="eastAsia" w:ascii="仿宋" w:hAnsi="仿宋" w:eastAsia="仿宋" w:cs="仿宋"/>
          <w:color w:val="auto"/>
          <w:sz w:val="30"/>
          <w:szCs w:val="30"/>
          <w:shd w:val="clear" w:color="auto" w:fill="auto"/>
          <w:lang w:val="en-US" w:eastAsia="zh-CN"/>
        </w:rPr>
        <w:t>6.8</w:t>
      </w:r>
      <w:r>
        <w:rPr>
          <w:rFonts w:hint="eastAsia" w:ascii="仿宋" w:hAnsi="仿宋" w:eastAsia="仿宋" w:cs="仿宋"/>
          <w:color w:val="auto"/>
          <w:sz w:val="30"/>
          <w:szCs w:val="30"/>
          <w:shd w:val="clear" w:color="auto" w:fill="auto"/>
          <w:lang w:eastAsia="zh-CN"/>
        </w:rPr>
        <w:t>执行。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6.8  雨水泵站建设用地指标</w:t>
      </w:r>
    </w:p>
    <w:tbl>
      <w:tblPr>
        <w:tblStyle w:val="1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55"/>
        <w:gridCol w:w="4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500"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雨水流量（</w:t>
            </w:r>
            <w:r>
              <w:rPr>
                <w:rFonts w:hint="eastAsia" w:ascii="仿宋" w:hAnsi="仿宋" w:eastAsia="仿宋" w:cs="仿宋"/>
                <w:b/>
                <w:bCs/>
                <w:color w:val="auto"/>
                <w:w w:val="105"/>
                <w:sz w:val="24"/>
                <w:szCs w:val="24"/>
                <w:shd w:val="clear" w:color="auto" w:fill="auto"/>
                <w:lang w:val="en-US" w:eastAsia="zh-CN"/>
              </w:rPr>
              <w:t>L</w:t>
            </w:r>
            <w:r>
              <w:rPr>
                <w:rFonts w:hint="eastAsia" w:ascii="仿宋" w:hAnsi="仿宋" w:eastAsia="仿宋" w:cs="仿宋"/>
                <w:b/>
                <w:bCs/>
                <w:color w:val="auto"/>
                <w:w w:val="105"/>
                <w:sz w:val="24"/>
                <w:szCs w:val="24"/>
                <w:shd w:val="clear" w:color="auto" w:fill="auto"/>
                <w:lang w:val="en-US" w:eastAsia="en-US"/>
              </w:rPr>
              <w:t>/s）</w:t>
            </w:r>
          </w:p>
        </w:tc>
        <w:tc>
          <w:tcPr>
            <w:tcW w:w="2499" w:type="pct"/>
          </w:tcPr>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auto"/>
              <w:rPr>
                <w:rFonts w:hint="eastAsia" w:ascii="仿宋" w:hAnsi="仿宋" w:eastAsia="仿宋" w:cs="仿宋"/>
                <w:b/>
                <w:bCs/>
                <w:color w:val="auto"/>
                <w:w w:val="105"/>
                <w:sz w:val="24"/>
                <w:szCs w:val="24"/>
                <w:shd w:val="clear" w:color="auto" w:fill="auto"/>
                <w:lang w:val="en-US" w:eastAsia="en-US"/>
              </w:rPr>
            </w:pPr>
            <w:r>
              <w:rPr>
                <w:rFonts w:hint="eastAsia" w:ascii="仿宋" w:hAnsi="仿宋" w:eastAsia="仿宋" w:cs="仿宋"/>
                <w:b/>
                <w:bCs/>
                <w:color w:val="auto"/>
                <w:w w:val="105"/>
                <w:sz w:val="24"/>
                <w:szCs w:val="24"/>
                <w:shd w:val="clear" w:color="auto" w:fill="auto"/>
                <w:lang w:val="en-US" w:eastAsia="en-US"/>
              </w:rPr>
              <w:t>用地指标（</w:t>
            </w:r>
            <w:r>
              <w:rPr>
                <w:rFonts w:hint="eastAsia" w:ascii="仿宋" w:hAnsi="仿宋" w:eastAsia="仿宋" w:cs="仿宋"/>
                <w:b/>
                <w:bCs/>
                <w:color w:val="auto"/>
                <w:w w:val="105"/>
                <w:sz w:val="24"/>
                <w:szCs w:val="24"/>
                <w:shd w:val="clear" w:color="auto" w:fill="auto"/>
                <w:lang w:val="en-US" w:eastAsia="zh-CN"/>
              </w:rPr>
              <w:t>m</w:t>
            </w:r>
            <w:r>
              <w:rPr>
                <w:rFonts w:hint="eastAsia" w:ascii="仿宋" w:hAnsi="仿宋" w:eastAsia="仿宋" w:cs="仿宋"/>
                <w:b/>
                <w:bCs/>
                <w:color w:val="auto"/>
                <w:w w:val="105"/>
                <w:sz w:val="24"/>
                <w:szCs w:val="24"/>
                <w:shd w:val="clear" w:color="auto" w:fill="auto"/>
                <w:vertAlign w:val="superscript"/>
                <w:lang w:val="en-US" w:eastAsia="zh-CN"/>
              </w:rPr>
              <w:t>2</w:t>
            </w:r>
            <w:r>
              <w:rPr>
                <w:rFonts w:hint="eastAsia" w:ascii="仿宋" w:hAnsi="仿宋" w:eastAsia="仿宋" w:cs="仿宋"/>
                <w:b/>
                <w:bCs/>
                <w:color w:val="auto"/>
                <w:w w:val="105"/>
                <w:sz w:val="24"/>
                <w:szCs w:val="24"/>
                <w:shd w:val="clear" w:color="auto" w:fill="auto"/>
                <w:lang w:val="en-US" w:eastAsia="en-US"/>
              </w:rPr>
              <w:t>s/</w:t>
            </w:r>
            <w:r>
              <w:rPr>
                <w:rFonts w:hint="eastAsia" w:ascii="仿宋" w:hAnsi="仿宋" w:eastAsia="仿宋" w:cs="仿宋"/>
                <w:b/>
                <w:bCs/>
                <w:color w:val="auto"/>
                <w:w w:val="105"/>
                <w:sz w:val="24"/>
                <w:szCs w:val="24"/>
                <w:shd w:val="clear" w:color="auto" w:fill="auto"/>
                <w:lang w:val="en-US" w:eastAsia="zh-CN"/>
              </w:rPr>
              <w:t>L</w:t>
            </w:r>
            <w:r>
              <w:rPr>
                <w:rFonts w:hint="eastAsia" w:ascii="仿宋" w:hAnsi="仿宋" w:eastAsia="仿宋" w:cs="仿宋"/>
                <w:b/>
                <w:bCs/>
                <w:color w:val="auto"/>
                <w:w w:val="105"/>
                <w:sz w:val="24"/>
                <w:szCs w:val="24"/>
                <w:shd w:val="clear" w:color="auto" w:fill="auto"/>
                <w:lang w:val="en-US" w:eastAsia="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00"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20000以上</w:t>
            </w:r>
          </w:p>
        </w:tc>
        <w:tc>
          <w:tcPr>
            <w:tcW w:w="2499"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0.4～0.6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00"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10000～20000</w:t>
            </w:r>
          </w:p>
        </w:tc>
        <w:tc>
          <w:tcPr>
            <w:tcW w:w="2499"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0.5～0.7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00"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5000～10000</w:t>
            </w:r>
          </w:p>
        </w:tc>
        <w:tc>
          <w:tcPr>
            <w:tcW w:w="2499"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0.6～0.8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500"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1000～5000</w:t>
            </w:r>
          </w:p>
        </w:tc>
        <w:tc>
          <w:tcPr>
            <w:tcW w:w="2499" w:type="pct"/>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val="0"/>
                <w:bCs w:val="0"/>
                <w:color w:val="auto"/>
                <w:w w:val="105"/>
                <w:sz w:val="24"/>
                <w:szCs w:val="24"/>
                <w:shd w:val="clear" w:color="auto" w:fill="auto"/>
                <w:lang w:val="en-US" w:eastAsia="en-US"/>
              </w:rPr>
            </w:pPr>
            <w:r>
              <w:rPr>
                <w:rFonts w:hint="eastAsia" w:ascii="仿宋" w:hAnsi="仿宋" w:eastAsia="仿宋" w:cs="仿宋"/>
                <w:b w:val="0"/>
                <w:bCs w:val="0"/>
                <w:color w:val="auto"/>
                <w:w w:val="105"/>
                <w:sz w:val="24"/>
                <w:szCs w:val="24"/>
                <w:shd w:val="clear" w:color="auto" w:fill="auto"/>
                <w:lang w:val="en-US" w:eastAsia="en-US"/>
              </w:rPr>
              <w:t>0.8～1.1</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420" w:firstLineChars="2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注：1、用地指标是按</w:t>
      </w:r>
      <w:r>
        <w:rPr>
          <w:rFonts w:hint="eastAsia" w:ascii="仿宋" w:hAnsi="仿宋" w:eastAsia="仿宋" w:cs="仿宋"/>
          <w:color w:val="auto"/>
          <w:sz w:val="21"/>
          <w:szCs w:val="21"/>
          <w:shd w:val="clear" w:color="auto" w:fill="auto"/>
          <w:lang w:val="en-US" w:eastAsia="zh-CN"/>
        </w:rPr>
        <w:t>生产必需的</w:t>
      </w:r>
      <w:r>
        <w:rPr>
          <w:rFonts w:hint="eastAsia" w:ascii="仿宋" w:hAnsi="仿宋" w:eastAsia="仿宋" w:cs="仿宋"/>
          <w:color w:val="auto"/>
          <w:sz w:val="21"/>
          <w:szCs w:val="21"/>
          <w:shd w:val="clear" w:color="auto" w:fill="auto"/>
          <w:lang w:val="en-US" w:eastAsia="en-US"/>
        </w:rPr>
        <w:t>土地面积。</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2、雨水泵站规模按最大秒流量计。</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3、本指标未包括站区周围绿化带用地。</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840" w:firstLineChars="400"/>
        <w:textAlignment w:val="auto"/>
        <w:rPr>
          <w:rFonts w:hint="eastAsia" w:ascii="仿宋" w:hAnsi="仿宋" w:eastAsia="仿宋" w:cs="仿宋"/>
          <w:color w:val="auto"/>
          <w:sz w:val="21"/>
          <w:szCs w:val="21"/>
          <w:shd w:val="clear" w:color="auto" w:fill="auto"/>
          <w:lang w:val="en-US" w:eastAsia="en-US"/>
        </w:rPr>
      </w:pPr>
      <w:r>
        <w:rPr>
          <w:rFonts w:hint="eastAsia" w:ascii="仿宋" w:hAnsi="仿宋" w:eastAsia="仿宋" w:cs="仿宋"/>
          <w:color w:val="auto"/>
          <w:sz w:val="21"/>
          <w:szCs w:val="21"/>
          <w:shd w:val="clear" w:color="auto" w:fill="auto"/>
          <w:lang w:val="en-US" w:eastAsia="en-US"/>
        </w:rPr>
        <w:t>4、合流泵站可参考雨水泵站指标。</w:t>
      </w:r>
    </w:p>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right="0" w:firstLine="0" w:firstLineChars="0"/>
        <w:textAlignment w:val="auto"/>
        <w:rPr>
          <w:rFonts w:hint="eastAsia" w:ascii="仿宋" w:hAnsi="仿宋" w:eastAsia="仿宋" w:cs="仿宋"/>
          <w:color w:val="auto"/>
          <w:sz w:val="21"/>
          <w:szCs w:val="21"/>
          <w:shd w:val="clear" w:color="auto" w:fill="auto"/>
          <w:lang w:val="en-US" w:eastAsia="en-US"/>
        </w:rPr>
      </w:pP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海绵城市建设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新建、改建、扩建工程项目应符合海绵城市设计要求，符合下列条件之一的，建设单位应当按照节水“三同时”的要求同期配套建设雨水收集利用设施：</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1、民用建筑、工业建筑的建（构）筑物占地与路面硬化面积之和在1500平方米以上的建设工程项目；</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eastAsia="zh-CN"/>
        </w:rPr>
        <w:t>总用地面积在2000平方米以上的公园、广场、绿地等工程项目；</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3、规划道路和高架桥等市政工程项目；</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en-US"/>
        </w:rPr>
      </w:pPr>
      <w:r>
        <w:rPr>
          <w:rFonts w:hint="eastAsia" w:ascii="仿宋" w:hAnsi="仿宋" w:eastAsia="仿宋" w:cs="仿宋"/>
          <w:color w:val="auto"/>
          <w:sz w:val="30"/>
          <w:szCs w:val="30"/>
          <w:shd w:val="clear" w:color="auto" w:fill="auto"/>
          <w:lang w:val="en-US" w:eastAsia="zh-CN"/>
        </w:rPr>
        <w:t>4、城市建设不应破坏自然排水体系，结合城市绿地建设配套的泄洪、排涝系统。科学规划、设计市政管网，由于发展和环境的不确定性，计算排水管管径宜提高一个等级。</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再生水利用</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城镇污水处理设施再生水利用率应达到</w:t>
      </w: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eastAsia="zh-CN"/>
        </w:rPr>
        <w:t>0%以上。集中型再生水处理厂应与污水处理厂结合建设。</w:t>
      </w:r>
    </w:p>
    <w:p>
      <w:pPr>
        <w:pStyle w:val="3"/>
        <w:keepNext/>
        <w:keepLines/>
        <w:pageBreakBefore w:val="0"/>
        <w:widowControl w:val="0"/>
        <w:kinsoku/>
        <w:wordWrap/>
        <w:overflowPunct/>
        <w:topLinePunct w:val="0"/>
        <w:autoSpaceDE/>
        <w:autoSpaceDN/>
        <w:bidi w:val="0"/>
        <w:adjustRightInd/>
        <w:snapToGrid/>
        <w:spacing w:before="0" w:beforeLines="50" w:after="0" w:afterLines="0" w:line="360" w:lineRule="auto"/>
        <w:ind w:firstLine="640" w:firstLineChars="200"/>
        <w:jc w:val="center"/>
        <w:textAlignment w:val="auto"/>
        <w:rPr>
          <w:rFonts w:hint="eastAsia"/>
          <w:b w:val="0"/>
          <w:bCs/>
          <w:color w:val="auto"/>
          <w:shd w:val="clear" w:color="auto" w:fill="auto"/>
          <w:lang w:val="en-US" w:eastAsia="zh-CN"/>
        </w:rPr>
      </w:pPr>
      <w:bookmarkStart w:id="28" w:name="_Toc185"/>
      <w:r>
        <w:rPr>
          <w:rFonts w:hint="eastAsia"/>
          <w:b w:val="0"/>
          <w:bCs/>
          <w:color w:val="auto"/>
          <w:shd w:val="clear" w:color="auto" w:fill="auto"/>
          <w:lang w:val="en-US" w:eastAsia="zh-CN"/>
        </w:rPr>
        <w:t>第四节  市政管线</w:t>
      </w:r>
      <w:bookmarkEnd w:id="28"/>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各项管线工程建设和改造，应符合城市基础设施各专项规划的要求。</w:t>
      </w:r>
      <w:r>
        <w:rPr>
          <w:rFonts w:hint="eastAsia" w:ascii="仿宋" w:hAnsi="仿宋" w:eastAsia="仿宋" w:cs="仿宋"/>
          <w:color w:val="auto"/>
          <w:sz w:val="30"/>
          <w:szCs w:val="30"/>
          <w:shd w:val="clear" w:color="auto" w:fill="auto"/>
          <w:lang w:eastAsia="zh-CN"/>
        </w:rPr>
        <w:t>在城市重要地段、主要道路以及居住区内的各种工程管线一般均应埋入地下。对现有架空线应根据规划结合旧城改造逐步改为地下敷设。</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管线布置要求</w:t>
      </w:r>
    </w:p>
    <w:p>
      <w:pPr>
        <w:pStyle w:val="6"/>
        <w:keepNext w:val="0"/>
        <w:keepLines w:val="0"/>
        <w:pageBreakBefore w:val="0"/>
        <w:widowControl w:val="0"/>
        <w:numPr>
          <w:ilvl w:val="0"/>
          <w:numId w:val="20"/>
        </w:numPr>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工程管线沿城市道路、铁路、公路敷设时应与城市道路、铁路、公路线路平行，不宜横穿线路，但必须横穿线路的管线段应尽量与线路垂直敷设。主干管应靠近分支管线多一侧。道路红线宽度超过40米的城市干道宜两侧布置配水、配气、通信、电力、排水管线；</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eastAsia="zh-CN"/>
        </w:rPr>
        <w:t>工程管线应优先布置在人行道、非机动车道、绿化带下。尽量不将管线布置在主干路的机动车道下，地下管线布置次序（从道路红线向道路中心线方向）宜为：电力电缆、电信电缆、燃气配气、给水配水、热力干线、燃气输气、给水输水、污水、雨水；</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eastAsia="zh-CN"/>
        </w:rPr>
        <w:t>应尽量减少管线在道路交叉口处交叉；各种管线的敷设除交叉处外，不得上下重叠。工程管线交叉时，自地表面向下的排列顺序宜为：电力、热力、燃气、给水、雨水、污水。其他管线布置方式应符合《城市工程管线综合规划规范》（GB50289-</w:t>
      </w:r>
      <w:r>
        <w:rPr>
          <w:rFonts w:hint="eastAsia" w:ascii="仿宋" w:hAnsi="仿宋" w:eastAsia="仿宋" w:cs="仿宋"/>
          <w:color w:val="auto"/>
          <w:sz w:val="30"/>
          <w:szCs w:val="30"/>
          <w:shd w:val="clear" w:color="auto" w:fill="auto"/>
          <w:lang w:val="en-US" w:eastAsia="zh-CN"/>
        </w:rPr>
        <w:t>2016</w:t>
      </w:r>
      <w:r>
        <w:rPr>
          <w:rFonts w:hint="eastAsia" w:ascii="仿宋" w:hAnsi="仿宋" w:eastAsia="仿宋" w:cs="仿宋"/>
          <w:color w:val="auto"/>
          <w:sz w:val="30"/>
          <w:szCs w:val="30"/>
          <w:shd w:val="clear" w:color="auto" w:fill="auto"/>
          <w:lang w:eastAsia="zh-CN"/>
        </w:rPr>
        <w:t>）的要求。</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管线避让原则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当工程管线竖向位置发生矛盾时，宜按下列规定处理：压力管线让重力自流管线；可弯曲管线让不易弯曲管线；分支管线让主干管线；小管径管线让大管径管线；临时管线让永久管线；技术要求低的管线让技术要求高的管线。</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b w:val="0"/>
          <w:bCs w:val="0"/>
          <w:color w:val="auto"/>
          <w:sz w:val="30"/>
          <w:szCs w:val="30"/>
          <w:shd w:val="clear" w:color="auto" w:fill="auto"/>
          <w:lang w:eastAsia="zh-CN"/>
        </w:rPr>
      </w:pPr>
      <w:r>
        <w:rPr>
          <w:rFonts w:hint="eastAsia" w:ascii="仿宋" w:hAnsi="仿宋" w:eastAsia="仿宋" w:cs="仿宋"/>
          <w:b w:val="0"/>
          <w:bCs w:val="0"/>
          <w:color w:val="auto"/>
          <w:sz w:val="30"/>
          <w:szCs w:val="30"/>
          <w:shd w:val="clear" w:color="auto" w:fill="auto"/>
          <w:lang w:eastAsia="zh-CN"/>
        </w:rPr>
        <w:t>各种管线交叉时，自地表面向下排列的顺序为：电信电缆或电信管块、热力管线、电力电缆（低压电缆应在高压电缆上穿过）、燃气管、给水管、排水管。</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地上管线敷设应符合下列要求：</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eastAsia="zh-CN"/>
        </w:rPr>
        <w:t>同一通道内的地上管线，应尽量集中布置在同一管架或走廊内；</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eastAsia="zh-CN"/>
        </w:rPr>
        <w:t>不布置在地下管线埋设的范围内；</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eastAsia="zh-CN"/>
        </w:rPr>
        <w:t>不影响交通运输、消防、检修、人行以及建筑物的自然采光和通风；</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4、</w:t>
      </w:r>
      <w:r>
        <w:rPr>
          <w:rFonts w:hint="eastAsia" w:ascii="仿宋" w:hAnsi="仿宋" w:eastAsia="仿宋" w:cs="仿宋"/>
          <w:color w:val="auto"/>
          <w:sz w:val="30"/>
          <w:szCs w:val="30"/>
          <w:shd w:val="clear" w:color="auto" w:fill="auto"/>
          <w:lang w:eastAsia="zh-CN"/>
        </w:rPr>
        <w:t>可燃性气体管道不得在存放易燃、易爆物品的堆场或仓库区内敷设；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5、</w:t>
      </w:r>
      <w:r>
        <w:rPr>
          <w:rFonts w:hint="eastAsia" w:ascii="仿宋" w:hAnsi="仿宋" w:eastAsia="仿宋" w:cs="仿宋"/>
          <w:color w:val="auto"/>
          <w:sz w:val="30"/>
          <w:szCs w:val="30"/>
          <w:shd w:val="clear" w:color="auto" w:fill="auto"/>
          <w:lang w:eastAsia="zh-CN"/>
        </w:rPr>
        <w:t>架空电力线严禁跨越易燃、易爆的危险场所，不跨越屋顶为易燃材料的建筑物，并尽量避免跨越其他建筑物。</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新建桥梁应根据管线规划要求，预留管线通过的位置。管线穿越河道时，应满足通航标准及河道整治。水下管线的覆土深度，在通航范围内不得小于2米，在其他地方不得小于0.5米。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地下管线检查井的设置，不得妨碍相邻管线通过和影响附近建（构）筑物的使用功能和安全。</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val="en-US" w:eastAsia="zh-CN"/>
        </w:rPr>
        <w:t>管线干管应布置在靠近主要负荷中心或支管较多的一侧。</w:t>
      </w:r>
      <w:r>
        <w:rPr>
          <w:rFonts w:hint="eastAsia" w:ascii="仿宋" w:hAnsi="仿宋" w:eastAsia="仿宋" w:cs="仿宋"/>
          <w:color w:val="auto"/>
          <w:kern w:val="2"/>
          <w:sz w:val="30"/>
          <w:szCs w:val="30"/>
          <w:shd w:val="clear" w:color="auto" w:fill="auto"/>
          <w:lang w:val="zh-CN" w:eastAsia="zh-CN" w:bidi="zh-CN"/>
        </w:rPr>
        <w:t>管线与管线，管线与铁路、道路之间应减少交叉。必须交叉的，宜采用直角相交，如斜交其交角不应小于45度。在重要交叉口（包括立体交叉口）或水泥混凝土等刚性路</w:t>
      </w:r>
      <w:r>
        <w:rPr>
          <w:rFonts w:hint="eastAsia" w:ascii="仿宋" w:hAnsi="仿宋" w:eastAsia="仿宋" w:cs="仿宋"/>
          <w:color w:val="auto"/>
          <w:sz w:val="30"/>
          <w:szCs w:val="30"/>
          <w:shd w:val="clear" w:color="auto" w:fill="auto"/>
        </w:rPr>
        <w:t>面下，应预埋过街管。</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各类管线间的距离要求</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eastAsia="zh-CN"/>
        </w:rPr>
        <w:t>地下工程管线交叉最小垂直净距</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工程管线在交叉点的高程应根据重力流排水管线的高程确定。工程管线交叉时的最小垂直净距，应符合</w:t>
      </w:r>
      <w:r>
        <w:rPr>
          <w:rFonts w:hint="eastAsia" w:ascii="仿宋" w:hAnsi="仿宋" w:eastAsia="仿宋" w:cs="仿宋"/>
          <w:color w:val="auto"/>
          <w:sz w:val="30"/>
          <w:szCs w:val="30"/>
          <w:shd w:val="clear" w:color="auto" w:fill="auto"/>
          <w:lang w:val="en-US" w:eastAsia="zh-CN"/>
        </w:rPr>
        <w:t>6.9</w:t>
      </w:r>
      <w:r>
        <w:rPr>
          <w:rFonts w:hint="eastAsia" w:ascii="仿宋" w:hAnsi="仿宋" w:eastAsia="仿宋" w:cs="仿宋"/>
          <w:color w:val="auto"/>
          <w:sz w:val="30"/>
          <w:szCs w:val="30"/>
          <w:shd w:val="clear" w:color="auto" w:fill="auto"/>
          <w:lang w:eastAsia="zh-CN"/>
        </w:rPr>
        <w:t>的规定。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_GB2312" w:hAnsi="仿宋_GB2312" w:eastAsia="仿宋_GB2312" w:cs="仿宋_GB2312"/>
          <w:color w:val="auto"/>
          <w:sz w:val="30"/>
          <w:szCs w:val="30"/>
          <w:shd w:val="clear" w:color="auto" w:fill="auto"/>
          <w:lang w:eastAsia="zh-CN"/>
        </w:rPr>
        <w:t>地下管线最小水平净距</w:t>
      </w:r>
    </w:p>
    <w:p>
      <w:pPr>
        <w:pStyle w:val="6"/>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工程管线之间及其与建（构）筑物之间的最小水平净距应符合表</w:t>
      </w:r>
      <w:r>
        <w:rPr>
          <w:rFonts w:hint="eastAsia" w:ascii="仿宋" w:hAnsi="仿宋" w:eastAsia="仿宋" w:cs="仿宋"/>
          <w:color w:val="auto"/>
          <w:sz w:val="30"/>
          <w:szCs w:val="30"/>
          <w:shd w:val="clear" w:color="auto" w:fill="auto"/>
          <w:lang w:val="en-US" w:eastAsia="zh-CN"/>
        </w:rPr>
        <w:t>6.10</w:t>
      </w:r>
      <w:r>
        <w:rPr>
          <w:rFonts w:hint="eastAsia" w:ascii="仿宋" w:hAnsi="仿宋" w:eastAsia="仿宋" w:cs="仿宋"/>
          <w:color w:val="auto"/>
          <w:sz w:val="30"/>
          <w:szCs w:val="30"/>
          <w:shd w:val="clear" w:color="auto" w:fill="auto"/>
          <w:lang w:eastAsia="zh-CN"/>
        </w:rPr>
        <w:t>的规定。</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6.9  工程管线交叉时的最小垂直净距（m）</w:t>
      </w:r>
    </w:p>
    <w:tbl>
      <w:tblPr>
        <w:tblStyle w:val="12"/>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9"/>
        <w:gridCol w:w="980"/>
        <w:gridCol w:w="1596"/>
        <w:gridCol w:w="1006"/>
        <w:gridCol w:w="836"/>
        <w:gridCol w:w="826"/>
        <w:gridCol w:w="824"/>
        <w:gridCol w:w="826"/>
        <w:gridCol w:w="824"/>
        <w:gridCol w:w="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312"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序号</w:t>
            </w:r>
          </w:p>
        </w:tc>
        <w:tc>
          <w:tcPr>
            <w:tcW w:w="1414" w:type="pct"/>
            <w:gridSpan w:val="2"/>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管线名称</w:t>
            </w:r>
          </w:p>
        </w:tc>
        <w:tc>
          <w:tcPr>
            <w:tcW w:w="552"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给水管线</w:t>
            </w:r>
          </w:p>
        </w:tc>
        <w:tc>
          <w:tcPr>
            <w:tcW w:w="459"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28"/>
                <w:sz w:val="24"/>
                <w:szCs w:val="24"/>
                <w:shd w:val="clear" w:color="auto" w:fill="auto"/>
              </w:rPr>
              <w:t>污、雨</w:t>
            </w:r>
            <w:r>
              <w:rPr>
                <w:rFonts w:hint="eastAsia" w:ascii="仿宋" w:hAnsi="仿宋" w:eastAsia="仿宋" w:cs="仿宋"/>
                <w:b/>
                <w:color w:val="auto"/>
                <w:sz w:val="24"/>
                <w:szCs w:val="24"/>
                <w:shd w:val="clear" w:color="auto" w:fill="auto"/>
              </w:rPr>
              <w:t>水排水管线</w:t>
            </w:r>
          </w:p>
        </w:tc>
        <w:tc>
          <w:tcPr>
            <w:tcW w:w="453"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燃气管线</w:t>
            </w:r>
          </w:p>
        </w:tc>
        <w:tc>
          <w:tcPr>
            <w:tcW w:w="905"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电信管线</w:t>
            </w:r>
          </w:p>
        </w:tc>
        <w:tc>
          <w:tcPr>
            <w:tcW w:w="901"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电力管线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4" w:hRule="atLeast"/>
        </w:trPr>
        <w:tc>
          <w:tcPr>
            <w:tcW w:w="3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414"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5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直埋</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管沟</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直埋</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1</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给水管线</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2</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污、雨水排水管线</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0.40</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3</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燃气管线</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4</w:t>
            </w:r>
          </w:p>
        </w:tc>
        <w:tc>
          <w:tcPr>
            <w:tcW w:w="538"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电信管线</w:t>
            </w:r>
          </w:p>
        </w:tc>
        <w:tc>
          <w:tcPr>
            <w:tcW w:w="876"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直埋</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0.25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0.25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53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876"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管沟</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0.25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0.25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5</w:t>
            </w:r>
          </w:p>
        </w:tc>
        <w:tc>
          <w:tcPr>
            <w:tcW w:w="538" w:type="pct"/>
            <w:vMerge w:val="restar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电力管线</w:t>
            </w:r>
          </w:p>
        </w:tc>
        <w:tc>
          <w:tcPr>
            <w:tcW w:w="876"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直埋</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53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876"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管沟</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25</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6</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沟渠（基础底）</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0.15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0.15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0.15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7</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涵洞（基础底）</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0.15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0.2</w:t>
            </w:r>
            <w:r>
              <w:rPr>
                <w:rFonts w:hint="eastAsia" w:ascii="仿宋" w:hAnsi="仿宋" w:eastAsia="仿宋" w:cs="仿宋"/>
                <w:color w:val="auto"/>
                <w:sz w:val="24"/>
                <w:szCs w:val="24"/>
                <w:shd w:val="clear" w:color="auto" w:fill="auto"/>
                <w:lang w:val="en-US" w:eastAsia="zh-CN"/>
              </w:rPr>
              <w:t>5</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0.25</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8</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电力（轨底）</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val="en-US" w:eastAsia="zh-CN"/>
              </w:rPr>
              <w:t>9</w:t>
            </w:r>
          </w:p>
        </w:tc>
        <w:tc>
          <w:tcPr>
            <w:tcW w:w="1414" w:type="pct"/>
            <w:gridSpan w:val="2"/>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铁路（轨底）</w:t>
            </w:r>
          </w:p>
        </w:tc>
        <w:tc>
          <w:tcPr>
            <w:tcW w:w="5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5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1.20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1.20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5</w:t>
            </w:r>
            <w:r>
              <w:rPr>
                <w:rFonts w:hint="eastAsia" w:ascii="仿宋" w:hAnsi="仿宋" w:eastAsia="仿宋" w:cs="仿宋"/>
                <w:color w:val="auto"/>
                <w:sz w:val="24"/>
                <w:szCs w:val="24"/>
                <w:shd w:val="clear" w:color="auto" w:fill="auto"/>
              </w:rPr>
              <w:t>0</w:t>
            </w:r>
          </w:p>
        </w:tc>
        <w:tc>
          <w:tcPr>
            <w:tcW w:w="453"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5</w:t>
            </w:r>
            <w:r>
              <w:rPr>
                <w:rFonts w:hint="eastAsia" w:ascii="仿宋" w:hAnsi="仿宋" w:eastAsia="仿宋" w:cs="仿宋"/>
                <w:color w:val="auto"/>
                <w:sz w:val="24"/>
                <w:szCs w:val="24"/>
                <w:shd w:val="clear" w:color="auto" w:fill="auto"/>
              </w:rPr>
              <w:t>0</w:t>
            </w:r>
          </w:p>
        </w:tc>
        <w:tc>
          <w:tcPr>
            <w:tcW w:w="452"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c>
          <w:tcPr>
            <w:tcW w:w="449" w:type="pct"/>
            <w:tcBorders>
              <w:tl2br w:val="nil"/>
              <w:tr2bl w:val="nil"/>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1.00</w:t>
            </w:r>
          </w:p>
        </w:tc>
      </w:tr>
    </w:tbl>
    <w:p>
      <w:pPr>
        <w:pStyle w:val="18"/>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sz w:val="30"/>
          <w:szCs w:val="30"/>
          <w:shd w:val="clear" w:color="auto" w:fill="auto"/>
          <w:lang w:eastAsia="zh-CN"/>
        </w:rPr>
        <w:sectPr>
          <w:footerReference r:id="rId6" w:type="default"/>
          <w:pgSz w:w="12240" w:h="15840"/>
          <w:pgMar w:top="1420" w:right="1560" w:bottom="1120" w:left="1580" w:header="745" w:footer="921" w:gutter="0"/>
          <w:pgBorders>
            <w:top w:val="none" w:sz="0" w:space="0"/>
            <w:left w:val="none" w:sz="0" w:space="0"/>
            <w:bottom w:val="none" w:sz="0" w:space="0"/>
            <w:right w:val="none" w:sz="0" w:space="0"/>
          </w:pgBorders>
          <w:pgNumType w:fmt="decimal" w:start="1"/>
          <w:cols w:space="720" w:num="1"/>
        </w:sectPr>
      </w:pPr>
    </w:p>
    <w:p>
      <w:pPr>
        <w:pStyle w:val="6"/>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bCs/>
          <w:color w:val="auto"/>
          <w:sz w:val="28"/>
          <w:szCs w:val="28"/>
          <w:shd w:val="clear" w:color="auto" w:fill="auto"/>
          <w:lang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 xml:space="preserve">6.10  </w:t>
      </w:r>
      <w:r>
        <w:rPr>
          <w:rFonts w:hint="eastAsia" w:ascii="仿宋" w:hAnsi="仿宋" w:eastAsia="仿宋" w:cs="仿宋"/>
          <w:b/>
          <w:bCs/>
          <w:color w:val="auto"/>
          <w:sz w:val="28"/>
          <w:szCs w:val="28"/>
          <w:shd w:val="clear" w:color="auto" w:fill="auto"/>
          <w:lang w:eastAsia="zh-CN"/>
        </w:rPr>
        <w:t>管线之间及其与建（构）筑物之间的最小水平净距表</w:t>
      </w:r>
      <w:r>
        <w:rPr>
          <w:rFonts w:hint="eastAsia" w:ascii="仿宋" w:hAnsi="仿宋" w:eastAsia="仿宋" w:cs="仿宋"/>
          <w:b/>
          <w:color w:val="auto"/>
          <w:sz w:val="28"/>
          <w:szCs w:val="28"/>
          <w:shd w:val="clear" w:color="auto" w:fill="auto"/>
          <w:lang w:val="en-US" w:eastAsia="zh-CN"/>
        </w:rPr>
        <w:t>（m）</w:t>
      </w:r>
    </w:p>
    <w:tbl>
      <w:tblPr>
        <w:tblStyle w:val="12"/>
        <w:tblW w:w="502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0"/>
        <w:gridCol w:w="300"/>
        <w:gridCol w:w="236"/>
        <w:gridCol w:w="70"/>
        <w:gridCol w:w="169"/>
        <w:gridCol w:w="289"/>
        <w:gridCol w:w="396"/>
        <w:gridCol w:w="830"/>
        <w:gridCol w:w="490"/>
        <w:gridCol w:w="487"/>
        <w:gridCol w:w="745"/>
        <w:gridCol w:w="645"/>
        <w:gridCol w:w="485"/>
        <w:gridCol w:w="485"/>
        <w:gridCol w:w="496"/>
        <w:gridCol w:w="485"/>
        <w:gridCol w:w="549"/>
        <w:gridCol w:w="455"/>
        <w:gridCol w:w="35"/>
        <w:gridCol w:w="375"/>
        <w:gridCol w:w="493"/>
        <w:gridCol w:w="493"/>
        <w:gridCol w:w="637"/>
        <w:gridCol w:w="487"/>
        <w:gridCol w:w="654"/>
        <w:gridCol w:w="654"/>
        <w:gridCol w:w="59"/>
        <w:gridCol w:w="613"/>
        <w:gridCol w:w="487"/>
        <w:gridCol w:w="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blHeader/>
        </w:trPr>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序</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号</w:t>
            </w:r>
          </w:p>
        </w:tc>
        <w:tc>
          <w:tcPr>
            <w:tcW w:w="855" w:type="pct"/>
            <w:gridSpan w:val="7"/>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管线名称</w:t>
            </w:r>
          </w:p>
        </w:tc>
        <w:tc>
          <w:tcPr>
            <w:tcW w:w="183"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建筑物</w:t>
            </w:r>
          </w:p>
        </w:tc>
        <w:tc>
          <w:tcPr>
            <w:tcW w:w="46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给水管</w:t>
            </w:r>
          </w:p>
        </w:tc>
        <w:tc>
          <w:tcPr>
            <w:tcW w:w="24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28"/>
                <w:sz w:val="24"/>
                <w:szCs w:val="24"/>
                <w:shd w:val="clear" w:color="auto" w:fill="auto"/>
              </w:rPr>
              <w:t>污水雨水</w:t>
            </w:r>
            <w:r>
              <w:rPr>
                <w:rFonts w:hint="eastAsia" w:ascii="仿宋" w:hAnsi="仿宋" w:eastAsia="仿宋" w:cs="仿宋"/>
                <w:b/>
                <w:color w:val="auto"/>
                <w:sz w:val="24"/>
                <w:szCs w:val="24"/>
                <w:shd w:val="clear" w:color="auto" w:fill="auto"/>
              </w:rPr>
              <w:t>管</w:t>
            </w:r>
          </w:p>
        </w:tc>
        <w:tc>
          <w:tcPr>
            <w:tcW w:w="933" w:type="pct"/>
            <w:gridSpan w:val="5"/>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燃气管</w:t>
            </w: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电力电缆</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电信电缆</w:t>
            </w:r>
          </w:p>
        </w:tc>
        <w:tc>
          <w:tcPr>
            <w:tcW w:w="238"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乔</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木</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灌</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木</w:t>
            </w:r>
          </w:p>
        </w:tc>
        <w:tc>
          <w:tcPr>
            <w:tcW w:w="739" w:type="pct"/>
            <w:gridSpan w:val="4"/>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地上杆柱</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28"/>
                <w:sz w:val="24"/>
                <w:szCs w:val="24"/>
                <w:shd w:val="clear" w:color="auto" w:fill="auto"/>
              </w:rPr>
              <w:t>道路侧石边缘</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20"/>
                <w:sz w:val="24"/>
                <w:szCs w:val="24"/>
                <w:shd w:val="clear" w:color="auto" w:fill="auto"/>
              </w:rPr>
              <w:t>铁路钢轨</w:t>
            </w:r>
            <w:r>
              <w:rPr>
                <w:rFonts w:hint="eastAsia" w:ascii="仿宋" w:hAnsi="仿宋" w:eastAsia="仿宋" w:cs="仿宋"/>
                <w:b/>
                <w:color w:val="auto"/>
                <w:spacing w:val="-23"/>
                <w:sz w:val="24"/>
                <w:szCs w:val="24"/>
                <w:shd w:val="clear" w:color="auto" w:fill="auto"/>
              </w:rPr>
              <w:t>(或坡</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10"/>
                <w:sz w:val="24"/>
                <w:szCs w:val="24"/>
                <w:shd w:val="clear" w:color="auto" w:fill="auto"/>
              </w:rPr>
              <w:t>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blHeader/>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855" w:type="pct"/>
            <w:gridSpan w:val="7"/>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d≤200</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mm</w:t>
            </w:r>
          </w:p>
        </w:tc>
        <w:tc>
          <w:tcPr>
            <w:tcW w:w="278"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10"/>
                <w:sz w:val="24"/>
                <w:szCs w:val="24"/>
                <w:shd w:val="clear" w:color="auto" w:fill="auto"/>
              </w:rPr>
              <w:t>d&gt;200</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10"/>
                <w:sz w:val="24"/>
                <w:szCs w:val="24"/>
                <w:shd w:val="clear" w:color="auto" w:fill="auto"/>
              </w:rPr>
              <w:t>mm</w:t>
            </w: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低压</w:t>
            </w:r>
          </w:p>
        </w:tc>
        <w:tc>
          <w:tcPr>
            <w:tcW w:w="366"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中压</w:t>
            </w:r>
          </w:p>
        </w:tc>
        <w:tc>
          <w:tcPr>
            <w:tcW w:w="385"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次高压</w:t>
            </w:r>
          </w:p>
        </w:tc>
        <w:tc>
          <w:tcPr>
            <w:tcW w:w="170"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直</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埋</w:t>
            </w:r>
          </w:p>
        </w:tc>
        <w:tc>
          <w:tcPr>
            <w:tcW w:w="153"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导管</w:t>
            </w:r>
          </w:p>
        </w:tc>
        <w:tc>
          <w:tcPr>
            <w:tcW w:w="18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直</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100"/>
                <w:sz w:val="24"/>
                <w:szCs w:val="24"/>
                <w:shd w:val="clear" w:color="auto" w:fill="auto"/>
              </w:rPr>
              <w:t>埋</w:t>
            </w:r>
          </w:p>
        </w:tc>
        <w:tc>
          <w:tcPr>
            <w:tcW w:w="18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导管</w:t>
            </w:r>
          </w:p>
        </w:tc>
        <w:tc>
          <w:tcPr>
            <w:tcW w:w="23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pacing w:val="-28"/>
                <w:sz w:val="24"/>
                <w:szCs w:val="24"/>
                <w:shd w:val="clear" w:color="auto" w:fill="auto"/>
              </w:rPr>
              <w:t>通信照明</w:t>
            </w:r>
            <w:r>
              <w:rPr>
                <w:rFonts w:hint="eastAsia" w:ascii="仿宋" w:hAnsi="仿宋" w:eastAsia="仿宋" w:cs="仿宋"/>
                <w:b/>
                <w:color w:val="auto"/>
                <w:spacing w:val="-10"/>
                <w:sz w:val="24"/>
                <w:szCs w:val="24"/>
                <w:shd w:val="clear" w:color="auto" w:fill="auto"/>
              </w:rPr>
              <w:t>及&lt;</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10kV</w:t>
            </w:r>
          </w:p>
        </w:tc>
        <w:tc>
          <w:tcPr>
            <w:tcW w:w="494"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高压铁塔</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基础边</w:t>
            </w: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blHeader/>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855" w:type="pct"/>
            <w:gridSpan w:val="7"/>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7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99"/>
                <w:sz w:val="24"/>
                <w:szCs w:val="24"/>
                <w:shd w:val="clear" w:color="auto" w:fill="auto"/>
              </w:rPr>
              <w:t>B</w:t>
            </w:r>
          </w:p>
        </w:tc>
        <w:tc>
          <w:tcPr>
            <w:tcW w:w="185"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99"/>
                <w:sz w:val="24"/>
                <w:szCs w:val="24"/>
                <w:shd w:val="clear" w:color="auto" w:fill="auto"/>
              </w:rPr>
              <w:t>A</w:t>
            </w: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99"/>
                <w:sz w:val="24"/>
                <w:szCs w:val="24"/>
                <w:shd w:val="clear" w:color="auto" w:fill="auto"/>
              </w:rPr>
              <w:t>B</w:t>
            </w:r>
          </w:p>
        </w:tc>
        <w:tc>
          <w:tcPr>
            <w:tcW w:w="20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w w:val="99"/>
                <w:sz w:val="24"/>
                <w:szCs w:val="24"/>
                <w:shd w:val="clear" w:color="auto" w:fill="auto"/>
              </w:rPr>
              <w:t>A</w:t>
            </w:r>
          </w:p>
        </w:tc>
        <w:tc>
          <w:tcPr>
            <w:tcW w:w="17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53"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3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≤35kV</w:t>
            </w:r>
          </w:p>
        </w:tc>
        <w:tc>
          <w:tcPr>
            <w:tcW w:w="25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＞35kV</w:t>
            </w: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1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1</w:t>
            </w:r>
          </w:p>
        </w:tc>
        <w:tc>
          <w:tcPr>
            <w:tcW w:w="855" w:type="pct"/>
            <w:gridSpan w:val="7"/>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建筑物</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78"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2.5</w:t>
            </w: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w:t>
            </w: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185"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5.0</w:t>
            </w:r>
          </w:p>
        </w:tc>
        <w:tc>
          <w:tcPr>
            <w:tcW w:w="20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lang w:val="en-US" w:eastAsia="zh-CN"/>
              </w:rPr>
              <w:t>13</w:t>
            </w:r>
            <w:r>
              <w:rPr>
                <w:rFonts w:hint="eastAsia" w:ascii="仿宋" w:hAnsi="仿宋" w:eastAsia="仿宋" w:cs="仿宋"/>
                <w:color w:val="auto"/>
                <w:sz w:val="24"/>
                <w:szCs w:val="24"/>
                <w:shd w:val="clear" w:color="auto" w:fill="auto"/>
              </w:rPr>
              <w:t>.5</w:t>
            </w: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6</w:t>
            </w:r>
          </w:p>
        </w:tc>
        <w:tc>
          <w:tcPr>
            <w:tcW w:w="18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18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38"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739" w:type="pct"/>
            <w:gridSpan w:val="4"/>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w:t>
            </w: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2</w:t>
            </w:r>
          </w:p>
        </w:tc>
        <w:tc>
          <w:tcPr>
            <w:tcW w:w="397" w:type="pct"/>
            <w:gridSpan w:val="5"/>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给水管</w:t>
            </w:r>
          </w:p>
        </w:tc>
        <w:tc>
          <w:tcPr>
            <w:tcW w:w="457"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d≤200mm</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6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547"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0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323"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368"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2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4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494"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97"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7"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d＞200mm</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547"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0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68"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2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94"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3</w:t>
            </w:r>
          </w:p>
        </w:tc>
        <w:tc>
          <w:tcPr>
            <w:tcW w:w="855" w:type="pct"/>
            <w:gridSpan w:val="7"/>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污水、雨水排水管</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2.5</w:t>
            </w: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78"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366"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1.2</w:t>
            </w:r>
          </w:p>
        </w:tc>
        <w:tc>
          <w:tcPr>
            <w:tcW w:w="18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0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w:t>
            </w: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2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4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494"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4</w:t>
            </w:r>
          </w:p>
        </w:tc>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燃气管</w:t>
            </w:r>
          </w:p>
        </w:tc>
        <w:tc>
          <w:tcPr>
            <w:tcW w:w="177"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低压</w:t>
            </w:r>
          </w:p>
        </w:tc>
        <w:tc>
          <w:tcPr>
            <w:tcW w:w="565"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P&lt;0.01MPa</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w:t>
            </w:r>
          </w:p>
        </w:tc>
        <w:tc>
          <w:tcPr>
            <w:tcW w:w="46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933" w:type="pct"/>
            <w:gridSpan w:val="5"/>
            <w:vMerge w:val="restart"/>
            <w:vAlign w:val="center"/>
          </w:tcPr>
          <w:p>
            <w:pPr>
              <w:pStyle w:val="19"/>
              <w:keepNext w:val="0"/>
              <w:keepLines w:val="0"/>
              <w:pageBreakBefore w:val="0"/>
              <w:widowControl w:val="0"/>
              <w:tabs>
                <w:tab w:val="left" w:pos="2221"/>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11"/>
                <w:sz w:val="24"/>
                <w:szCs w:val="24"/>
                <w:shd w:val="clear" w:color="auto" w:fill="auto"/>
              </w:rPr>
              <w:t>DN≤300mm</w:t>
            </w:r>
            <w:r>
              <w:rPr>
                <w:rFonts w:hint="eastAsia" w:ascii="仿宋" w:hAnsi="仿宋" w:eastAsia="仿宋" w:cs="仿宋"/>
                <w:color w:val="auto"/>
                <w:spacing w:val="-8"/>
                <w:sz w:val="24"/>
                <w:szCs w:val="24"/>
                <w:shd w:val="clear" w:color="auto" w:fill="auto"/>
              </w:rPr>
              <w:t>0.4</w:t>
            </w:r>
          </w:p>
          <w:p>
            <w:pPr>
              <w:pStyle w:val="19"/>
              <w:keepNext w:val="0"/>
              <w:keepLines w:val="0"/>
              <w:pageBreakBefore w:val="0"/>
              <w:widowControl w:val="0"/>
              <w:tabs>
                <w:tab w:val="left" w:pos="2173"/>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10"/>
                <w:sz w:val="24"/>
                <w:szCs w:val="24"/>
                <w:shd w:val="clear" w:color="auto" w:fill="auto"/>
              </w:rPr>
              <w:t>DN&gt;300mm</w:t>
            </w:r>
            <w:r>
              <w:rPr>
                <w:rFonts w:hint="eastAsia" w:ascii="仿宋" w:hAnsi="仿宋" w:eastAsia="仿宋" w:cs="仿宋"/>
                <w:color w:val="auto"/>
                <w:spacing w:val="-8"/>
                <w:sz w:val="24"/>
                <w:szCs w:val="24"/>
                <w:shd w:val="clear" w:color="auto" w:fill="auto"/>
              </w:rPr>
              <w:t>0.5</w:t>
            </w:r>
          </w:p>
        </w:tc>
        <w:tc>
          <w:tcPr>
            <w:tcW w:w="323"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2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0.75</w:t>
            </w:r>
          </w:p>
        </w:tc>
        <w:tc>
          <w:tcPr>
            <w:tcW w:w="24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4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5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4"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中压</w:t>
            </w:r>
          </w:p>
        </w:tc>
        <w:tc>
          <w:tcPr>
            <w:tcW w:w="6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B</w:t>
            </w:r>
          </w:p>
        </w:tc>
        <w:tc>
          <w:tcPr>
            <w:tcW w:w="565"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0.01MPa≤P≤0.2MPa</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1..2</w:t>
            </w:r>
          </w:p>
        </w:tc>
        <w:tc>
          <w:tcPr>
            <w:tcW w:w="933"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20"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5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4"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6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A</w:t>
            </w:r>
          </w:p>
        </w:tc>
        <w:tc>
          <w:tcPr>
            <w:tcW w:w="565"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0.2MPa&lt;P≤0.4MPa</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933"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20"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5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4"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次高压</w:t>
            </w:r>
          </w:p>
        </w:tc>
        <w:tc>
          <w:tcPr>
            <w:tcW w:w="6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B</w:t>
            </w:r>
          </w:p>
        </w:tc>
        <w:tc>
          <w:tcPr>
            <w:tcW w:w="565"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0.4MPa&lt;P≤0.8MPa</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4.5</w:t>
            </w:r>
          </w:p>
        </w:tc>
        <w:tc>
          <w:tcPr>
            <w:tcW w:w="46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933"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20" w:type="pct"/>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1.2</w:t>
            </w: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5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5.0</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2.5</w:t>
            </w: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14"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6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A</w:t>
            </w:r>
          </w:p>
        </w:tc>
        <w:tc>
          <w:tcPr>
            <w:tcW w:w="565"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0.8MPa&lt;P≤1.6MPa</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13.5</w:t>
            </w:r>
          </w:p>
        </w:tc>
        <w:tc>
          <w:tcPr>
            <w:tcW w:w="46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w:t>
            </w:r>
          </w:p>
        </w:tc>
        <w:tc>
          <w:tcPr>
            <w:tcW w:w="933"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20"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5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5</w:t>
            </w:r>
          </w:p>
        </w:tc>
        <w:tc>
          <w:tcPr>
            <w:tcW w:w="397" w:type="pct"/>
            <w:gridSpan w:val="5"/>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电力电缆</w:t>
            </w:r>
          </w:p>
        </w:tc>
        <w:tc>
          <w:tcPr>
            <w:tcW w:w="457"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直埋</w:t>
            </w:r>
          </w:p>
        </w:tc>
        <w:tc>
          <w:tcPr>
            <w:tcW w:w="183"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0.6</w:t>
            </w:r>
          </w:p>
        </w:tc>
        <w:tc>
          <w:tcPr>
            <w:tcW w:w="46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24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366" w:type="pct"/>
            <w:gridSpan w:val="2"/>
            <w:tcBorders>
              <w:bottom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0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3" w:type="pct"/>
            <w:gridSpan w:val="2"/>
            <w:tcBorders>
              <w:bottom w:val="single" w:color="auto" w:sz="4" w:space="0"/>
              <w:righ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0.25</w:t>
            </w:r>
          </w:p>
        </w:tc>
        <w:tc>
          <w:tcPr>
            <w:tcW w:w="140" w:type="pct"/>
            <w:tcBorders>
              <w:left w:val="single" w:color="auto" w:sz="4" w:space="0"/>
              <w:bottom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0.1</w:t>
            </w:r>
          </w:p>
        </w:tc>
        <w:tc>
          <w:tcPr>
            <w:tcW w:w="368"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&lt;35kV</w:t>
            </w:r>
            <w:r>
              <w:rPr>
                <w:rFonts w:hint="eastAsia" w:ascii="仿宋" w:hAnsi="仿宋" w:eastAsia="仿宋" w:cs="仿宋"/>
                <w:color w:val="auto"/>
                <w:sz w:val="24"/>
                <w:szCs w:val="24"/>
                <w:shd w:val="clear" w:color="auto" w:fill="auto"/>
                <w:lang w:val="en-US" w:eastAsia="zh-CN"/>
              </w:rPr>
              <w:t>0.5</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default" w:ascii="Arial" w:hAnsi="Arial" w:eastAsia="仿宋" w:cs="Arial"/>
                <w:color w:val="auto"/>
                <w:sz w:val="24"/>
                <w:szCs w:val="24"/>
                <w:shd w:val="clear" w:color="auto" w:fill="auto"/>
                <w:lang w:val="en-US" w:eastAsia="zh-CN"/>
              </w:rPr>
              <w:t>≥</w:t>
            </w:r>
            <w:r>
              <w:rPr>
                <w:rFonts w:hint="eastAsia" w:ascii="仿宋" w:hAnsi="仿宋" w:eastAsia="仿宋" w:cs="仿宋"/>
                <w:color w:val="auto"/>
                <w:sz w:val="24"/>
                <w:szCs w:val="24"/>
                <w:shd w:val="clear" w:color="auto" w:fill="auto"/>
              </w:rPr>
              <w:t>35kV</w:t>
            </w:r>
            <w:r>
              <w:rPr>
                <w:rFonts w:hint="eastAsia" w:ascii="仿宋" w:hAnsi="仿宋" w:eastAsia="仿宋" w:cs="仿宋"/>
                <w:color w:val="auto"/>
                <w:sz w:val="24"/>
                <w:szCs w:val="24"/>
                <w:shd w:val="clear" w:color="auto" w:fill="auto"/>
                <w:lang w:val="en-US" w:eastAsia="zh-CN"/>
              </w:rPr>
              <w:t>2.0</w:t>
            </w:r>
          </w:p>
        </w:tc>
        <w:tc>
          <w:tcPr>
            <w:tcW w:w="42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0.7</w:t>
            </w:r>
          </w:p>
        </w:tc>
        <w:tc>
          <w:tcPr>
            <w:tcW w:w="244" w:type="pct"/>
            <w:vMerge w:val="restart"/>
            <w:tcBorders>
              <w:righ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w:t>
            </w:r>
          </w:p>
        </w:tc>
        <w:tc>
          <w:tcPr>
            <w:tcW w:w="494" w:type="pct"/>
            <w:gridSpan w:val="3"/>
            <w:vMerge w:val="restart"/>
            <w:tcBorders>
              <w:lef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2.0</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97"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7"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导管</w:t>
            </w:r>
          </w:p>
        </w:tc>
        <w:tc>
          <w:tcPr>
            <w:tcW w:w="18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66" w:type="pct"/>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w:t>
            </w:r>
          </w:p>
        </w:tc>
        <w:tc>
          <w:tcPr>
            <w:tcW w:w="18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0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3" w:type="pct"/>
            <w:gridSpan w:val="2"/>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0.1</w:t>
            </w:r>
          </w:p>
        </w:tc>
        <w:tc>
          <w:tcPr>
            <w:tcW w:w="140" w:type="pc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0.1</w:t>
            </w:r>
          </w:p>
        </w:tc>
        <w:tc>
          <w:tcPr>
            <w:tcW w:w="368"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2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94" w:type="pct"/>
            <w:gridSpan w:val="3"/>
            <w:vMerge w:val="continue"/>
            <w:tcBorders>
              <w:top w:val="nil"/>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6</w:t>
            </w:r>
          </w:p>
        </w:tc>
        <w:tc>
          <w:tcPr>
            <w:tcW w:w="397" w:type="pct"/>
            <w:gridSpan w:val="5"/>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电信电缆</w:t>
            </w:r>
          </w:p>
        </w:tc>
        <w:tc>
          <w:tcPr>
            <w:tcW w:w="457"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直埋</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6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4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547"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0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323"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368"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238"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24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266" w:type="pct"/>
            <w:gridSpan w:val="2"/>
            <w:vMerge w:val="restart"/>
            <w:tcBorders>
              <w:righ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0.5</w:t>
            </w:r>
          </w:p>
        </w:tc>
        <w:tc>
          <w:tcPr>
            <w:tcW w:w="228" w:type="pct"/>
            <w:vMerge w:val="restart"/>
            <w:tcBorders>
              <w:left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97" w:type="pct"/>
            <w:gridSpan w:val="5"/>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57"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导管</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547"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18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0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68"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38" w:type="pct"/>
            <w:vMerge w:val="continue"/>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66" w:type="pct"/>
            <w:gridSpan w:val="2"/>
            <w:vMerge w:val="continue"/>
            <w:tcBorders>
              <w:top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28" w:type="pct"/>
            <w:vMerge w:val="continue"/>
            <w:tcBorders>
              <w:top w:val="nil"/>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7</w:t>
            </w:r>
          </w:p>
        </w:tc>
        <w:tc>
          <w:tcPr>
            <w:tcW w:w="855" w:type="pct"/>
            <w:gridSpan w:val="7"/>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乔木（中心）</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46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b/>
                <w:color w:val="auto"/>
                <w:sz w:val="24"/>
                <w:szCs w:val="24"/>
                <w:shd w:val="clear" w:color="auto" w:fill="auto"/>
                <w:lang w:val="en-US" w:eastAsia="zh-CN"/>
              </w:rPr>
            </w:pPr>
            <w:r>
              <w:rPr>
                <w:rFonts w:hint="eastAsia" w:ascii="仿宋" w:hAnsi="仿宋" w:eastAsia="仿宋" w:cs="仿宋"/>
                <w:b/>
                <w:color w:val="auto"/>
                <w:sz w:val="24"/>
                <w:szCs w:val="24"/>
                <w:shd w:val="clear" w:color="auto" w:fill="auto"/>
                <w:lang w:val="en-US" w:eastAsia="zh-CN"/>
              </w:rPr>
              <w:t>1.5</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w:t>
            </w:r>
          </w:p>
        </w:tc>
        <w:tc>
          <w:tcPr>
            <w:tcW w:w="24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b/>
                <w:color w:val="auto"/>
                <w:sz w:val="24"/>
                <w:szCs w:val="24"/>
                <w:shd w:val="clear" w:color="auto" w:fill="auto"/>
                <w:lang w:val="en-US" w:eastAsia="zh-CN"/>
              </w:rPr>
            </w:pPr>
            <w:r>
              <w:rPr>
                <w:rFonts w:hint="eastAsia" w:ascii="仿宋" w:hAnsi="仿宋" w:eastAsia="仿宋" w:cs="仿宋"/>
                <w:b/>
                <w:color w:val="auto"/>
                <w:sz w:val="24"/>
                <w:szCs w:val="24"/>
                <w:shd w:val="clear" w:color="auto" w:fill="auto"/>
                <w:lang w:val="en-US" w:eastAsia="zh-CN"/>
              </w:rPr>
              <w:t>1.0</w:t>
            </w: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547"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0.75</w:t>
            </w:r>
          </w:p>
        </w:tc>
        <w:tc>
          <w:tcPr>
            <w:tcW w:w="385"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1.2</w:t>
            </w:r>
          </w:p>
        </w:tc>
        <w:tc>
          <w:tcPr>
            <w:tcW w:w="323"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0.7</w:t>
            </w:r>
          </w:p>
        </w:tc>
        <w:tc>
          <w:tcPr>
            <w:tcW w:w="18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5</w:t>
            </w:r>
          </w:p>
        </w:tc>
        <w:tc>
          <w:tcPr>
            <w:tcW w:w="184"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2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94" w:type="pct"/>
            <w:gridSpan w:val="3"/>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w w:val="100"/>
                <w:sz w:val="24"/>
                <w:szCs w:val="24"/>
                <w:shd w:val="clear" w:color="auto" w:fill="auto"/>
                <w:lang w:val="en-US" w:eastAsia="zh-CN"/>
              </w:rPr>
              <w:t>8</w:t>
            </w:r>
          </w:p>
        </w:tc>
        <w:tc>
          <w:tcPr>
            <w:tcW w:w="855" w:type="pct"/>
            <w:gridSpan w:val="7"/>
            <w:vAlign w:val="center"/>
          </w:tcPr>
          <w:p>
            <w:pPr>
              <w:pStyle w:val="19"/>
              <w:keepNext w:val="0"/>
              <w:keepLines w:val="0"/>
              <w:pageBreakBefore w:val="0"/>
              <w:widowControl w:val="0"/>
              <w:tabs>
                <w:tab w:val="left" w:pos="642"/>
              </w:tabs>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灌</w:t>
            </w:r>
            <w:r>
              <w:rPr>
                <w:rFonts w:hint="eastAsia" w:ascii="仿宋" w:hAnsi="仿宋" w:eastAsia="仿宋" w:cs="仿宋"/>
                <w:color w:val="auto"/>
                <w:sz w:val="24"/>
                <w:szCs w:val="24"/>
                <w:shd w:val="clear" w:color="auto" w:fill="auto"/>
              </w:rPr>
              <w:tab/>
            </w:r>
            <w:r>
              <w:rPr>
                <w:rFonts w:hint="eastAsia" w:ascii="仿宋" w:hAnsi="仿宋" w:eastAsia="仿宋" w:cs="仿宋"/>
                <w:color w:val="auto"/>
                <w:sz w:val="24"/>
                <w:szCs w:val="24"/>
                <w:shd w:val="clear" w:color="auto" w:fill="auto"/>
              </w:rPr>
              <w:t>木</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547" w:type="pct"/>
            <w:gridSpan w:val="3"/>
            <w:vMerge w:val="continue"/>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85" w:type="pct"/>
            <w:gridSpan w:val="2"/>
            <w:vMerge w:val="continue"/>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42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94"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val="en-US" w:eastAsia="zh-CN"/>
              </w:rPr>
              <w:t>9</w:t>
            </w:r>
          </w:p>
        </w:tc>
        <w:tc>
          <w:tcPr>
            <w:tcW w:w="20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pacing w:val="-17"/>
                <w:sz w:val="24"/>
                <w:szCs w:val="24"/>
                <w:shd w:val="clear" w:color="auto" w:fill="auto"/>
              </w:rPr>
              <w:t>地上杆柱</w:t>
            </w:r>
          </w:p>
        </w:tc>
        <w:tc>
          <w:tcPr>
            <w:tcW w:w="654" w:type="pct"/>
            <w:gridSpan w:val="5"/>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通信照明及&lt;10kV</w:t>
            </w:r>
          </w:p>
        </w:tc>
        <w:tc>
          <w:tcPr>
            <w:tcW w:w="183"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w w:val="100"/>
                <w:sz w:val="24"/>
                <w:szCs w:val="24"/>
                <w:shd w:val="clear" w:color="auto" w:fill="auto"/>
              </w:rPr>
              <w:t>*</w:t>
            </w:r>
          </w:p>
        </w:tc>
        <w:tc>
          <w:tcPr>
            <w:tcW w:w="46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933" w:type="pct"/>
            <w:gridSpan w:val="5"/>
            <w:tcBorders>
              <w:bottom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323" w:type="pct"/>
            <w:gridSpan w:val="3"/>
            <w:tcBorders>
              <w:bottom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42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739" w:type="pct"/>
            <w:gridSpan w:val="4"/>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2"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0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45" w:type="pct"/>
            <w:gridSpan w:val="4"/>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高压铁塔基础边</w:t>
            </w:r>
          </w:p>
        </w:tc>
        <w:tc>
          <w:tcPr>
            <w:tcW w:w="309"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≤35kV</w:t>
            </w:r>
          </w:p>
        </w:tc>
        <w:tc>
          <w:tcPr>
            <w:tcW w:w="18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6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241"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933" w:type="pct"/>
            <w:gridSpan w:val="5"/>
            <w:tcBorders>
              <w:top w:val="single" w:color="auto" w:sz="4" w:space="0"/>
            </w:tcBorders>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1.0</w:t>
            </w:r>
          </w:p>
        </w:tc>
        <w:tc>
          <w:tcPr>
            <w:tcW w:w="323" w:type="pct"/>
            <w:gridSpan w:val="3"/>
            <w:vMerge w:val="restart"/>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2.0</w:t>
            </w:r>
          </w:p>
        </w:tc>
        <w:tc>
          <w:tcPr>
            <w:tcW w:w="368"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0.5</w:t>
            </w:r>
          </w:p>
        </w:tc>
        <w:tc>
          <w:tcPr>
            <w:tcW w:w="420" w:type="pct"/>
            <w:gridSpan w:val="2"/>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739" w:type="pct"/>
            <w:gridSpan w:val="4"/>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0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45" w:type="pct"/>
            <w:gridSpan w:val="4"/>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09" w:type="pct"/>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&gt;35kV</w:t>
            </w:r>
          </w:p>
        </w:tc>
        <w:tc>
          <w:tcPr>
            <w:tcW w:w="18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6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933" w:type="pct"/>
            <w:gridSpan w:val="5"/>
            <w:vMerge w:val="restar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5.0</w:t>
            </w:r>
          </w:p>
        </w:tc>
        <w:tc>
          <w:tcPr>
            <w:tcW w:w="323" w:type="pct"/>
            <w:gridSpan w:val="3"/>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68" w:type="pct"/>
            <w:gridSpan w:val="2"/>
            <w:vMerge w:val="continue"/>
            <w:tcBorders>
              <w:top w:val="nil"/>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20"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739" w:type="pct"/>
            <w:gridSpan w:val="4"/>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1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00"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45" w:type="pct"/>
            <w:gridSpan w:val="4"/>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09" w:type="pct"/>
            <w:vMerge w:val="continue"/>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60"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24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933" w:type="pct"/>
            <w:gridSpan w:val="5"/>
            <w:vMerge w:val="continue"/>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23" w:type="pct"/>
            <w:gridSpan w:val="3"/>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368" w:type="pct"/>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2.5</w:t>
            </w:r>
          </w:p>
        </w:tc>
        <w:tc>
          <w:tcPr>
            <w:tcW w:w="420"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739" w:type="pct"/>
            <w:gridSpan w:val="4"/>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0</w:t>
            </w:r>
          </w:p>
        </w:tc>
        <w:tc>
          <w:tcPr>
            <w:tcW w:w="855" w:type="pct"/>
            <w:gridSpan w:val="7"/>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道路侧石边缘</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6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241"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547"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385"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2.5</w:t>
            </w: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1.5</w:t>
            </w:r>
          </w:p>
        </w:tc>
        <w:tc>
          <w:tcPr>
            <w:tcW w:w="42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739" w:type="pct"/>
            <w:gridSpan w:val="4"/>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w:t>
            </w: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1</w:t>
            </w:r>
          </w:p>
        </w:tc>
        <w:tc>
          <w:tcPr>
            <w:tcW w:w="855" w:type="pct"/>
            <w:gridSpan w:val="7"/>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铁路钢轨（或坡脚）</w:t>
            </w:r>
          </w:p>
        </w:tc>
        <w:tc>
          <w:tcPr>
            <w:tcW w:w="183"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6.0</w:t>
            </w:r>
          </w:p>
        </w:tc>
        <w:tc>
          <w:tcPr>
            <w:tcW w:w="1634" w:type="pct"/>
            <w:gridSpan w:val="8"/>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5.0</w:t>
            </w:r>
          </w:p>
        </w:tc>
        <w:tc>
          <w:tcPr>
            <w:tcW w:w="323" w:type="pct"/>
            <w:gridSpan w:val="3"/>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3.0</w:t>
            </w:r>
          </w:p>
        </w:tc>
        <w:tc>
          <w:tcPr>
            <w:tcW w:w="368"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w:t>
            </w:r>
          </w:p>
        </w:tc>
        <w:tc>
          <w:tcPr>
            <w:tcW w:w="420" w:type="pct"/>
            <w:gridSpan w:val="2"/>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739" w:type="pct"/>
            <w:gridSpan w:val="4"/>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182" w:type="pct"/>
            <w:vAlign w:val="center"/>
          </w:tcPr>
          <w:p>
            <w:pPr>
              <w:pStyle w:val="19"/>
              <w:keepNext w:val="0"/>
              <w:keepLines w:val="0"/>
              <w:pageBreakBefore w:val="0"/>
              <w:widowControl w:val="0"/>
              <w:kinsoku/>
              <w:wordWrap/>
              <w:overflowPunct/>
              <w:topLinePunct w:val="0"/>
              <w:autoSpaceDE/>
              <w:autoSpaceDN/>
              <w:bidi w:val="0"/>
              <w:adjustRightInd w:val="0"/>
              <w:snapToGrid w:val="0"/>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bl>
    <w:p>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hd w:val="clear" w:color="auto" w:fill="auto"/>
          <w:lang w:val="en-US" w:eastAsia="zh-CN"/>
        </w:rPr>
      </w:pP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当受道路宽度、断面以及现状工程管线位置等因素限制难以满足要求时，可根据实际情况采取安全措施并征得主管部门同意后减少其最小水平净距。</w:t>
      </w:r>
    </w:p>
    <w:p>
      <w:pPr>
        <w:pageBreakBefore w:val="0"/>
        <w:kinsoku/>
        <w:wordWrap/>
        <w:overflowPunct/>
        <w:topLinePunct w:val="0"/>
        <w:autoSpaceDE/>
        <w:bidi w:val="0"/>
        <w:spacing w:line="360" w:lineRule="auto"/>
        <w:ind w:firstLine="600" w:firstLineChars="200"/>
        <w:rPr>
          <w:rFonts w:hint="eastAsia" w:ascii="仿宋_GB2312" w:hAnsi="仿宋_GB2312" w:eastAsia="仿宋_GB2312" w:cs="仿宋_GB2312"/>
          <w:color w:val="auto"/>
          <w:sz w:val="30"/>
          <w:szCs w:val="30"/>
          <w:shd w:val="clear" w:color="auto" w:fill="auto"/>
          <w:lang w:eastAsia="zh-CN"/>
        </w:rPr>
        <w:sectPr>
          <w:pgSz w:w="15840" w:h="12240" w:orient="landscape"/>
          <w:pgMar w:top="1580" w:right="1420" w:bottom="1560" w:left="1120" w:header="745" w:footer="921" w:gutter="0"/>
          <w:pgBorders>
            <w:top w:val="none" w:sz="0" w:space="0"/>
            <w:left w:val="none" w:sz="0" w:space="0"/>
            <w:bottom w:val="none" w:sz="0" w:space="0"/>
            <w:right w:val="none" w:sz="0" w:space="0"/>
          </w:pgBorders>
          <w:pgNumType w:fmt="decimal"/>
          <w:cols w:space="720" w:num="1"/>
        </w:sectPr>
      </w:pPr>
      <w:r>
        <w:rPr>
          <w:rFonts w:hint="eastAsia" w:ascii="仿宋_GB2312" w:hAnsi="仿宋_GB2312" w:eastAsia="仿宋_GB2312" w:cs="仿宋_GB2312"/>
          <w:color w:val="auto"/>
          <w:sz w:val="30"/>
          <w:szCs w:val="30"/>
          <w:shd w:val="clear" w:color="auto" w:fill="auto"/>
          <w:lang w:eastAsia="zh-CN"/>
        </w:rPr>
        <w:br w:type="page"/>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最小覆土深度</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eastAsia="zh-CN"/>
        </w:rPr>
        <w:t>应根据土壤冰冻深度、土壤性质和地面承受荷载的大小确定管线的覆土深度，工程管线最小覆土深度宜按表</w:t>
      </w:r>
      <w:r>
        <w:rPr>
          <w:rFonts w:hint="eastAsia" w:ascii="仿宋" w:hAnsi="仿宋" w:eastAsia="仿宋" w:cs="仿宋"/>
          <w:color w:val="auto"/>
          <w:sz w:val="30"/>
          <w:szCs w:val="30"/>
          <w:shd w:val="clear" w:color="auto" w:fill="auto"/>
          <w:lang w:val="en-US" w:eastAsia="zh-CN"/>
        </w:rPr>
        <w:t>6.11</w:t>
      </w:r>
      <w:r>
        <w:rPr>
          <w:rFonts w:hint="eastAsia" w:ascii="仿宋" w:hAnsi="仿宋" w:eastAsia="仿宋" w:cs="仿宋"/>
          <w:color w:val="auto"/>
          <w:sz w:val="30"/>
          <w:szCs w:val="30"/>
          <w:shd w:val="clear" w:color="auto" w:fill="auto"/>
          <w:lang w:eastAsia="zh-CN"/>
        </w:rPr>
        <w:t>规定执行。</w:t>
      </w:r>
    </w:p>
    <w:p>
      <w:pPr>
        <w:pageBreakBefore w:val="0"/>
        <w:kinsoku/>
        <w:wordWrap/>
        <w:overflowPunct/>
        <w:topLinePunct w:val="0"/>
        <w:autoSpaceDE/>
        <w:bidi w:val="0"/>
        <w:spacing w:line="360" w:lineRule="auto"/>
        <w:ind w:firstLine="562" w:firstLineChars="200"/>
        <w:jc w:val="center"/>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en-US"/>
        </w:rPr>
        <w:t>表</w:t>
      </w:r>
      <w:r>
        <w:rPr>
          <w:rFonts w:hint="eastAsia" w:ascii="仿宋" w:hAnsi="仿宋" w:eastAsia="仿宋" w:cs="仿宋"/>
          <w:b/>
          <w:color w:val="auto"/>
          <w:sz w:val="28"/>
          <w:szCs w:val="28"/>
          <w:shd w:val="clear" w:color="auto" w:fill="auto"/>
          <w:lang w:val="en-US" w:eastAsia="zh-CN"/>
        </w:rPr>
        <w:t>6.11  工程管线的最小覆土深度（m）</w:t>
      </w:r>
    </w:p>
    <w:tbl>
      <w:tblPr>
        <w:tblStyle w:val="12"/>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8"/>
        <w:gridCol w:w="1062"/>
        <w:gridCol w:w="686"/>
        <w:gridCol w:w="793"/>
        <w:gridCol w:w="819"/>
        <w:gridCol w:w="821"/>
        <w:gridCol w:w="821"/>
        <w:gridCol w:w="821"/>
        <w:gridCol w:w="819"/>
        <w:gridCol w:w="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53" w:type="pct"/>
            <w:gridSpan w:val="2"/>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管线名称</w:t>
            </w:r>
          </w:p>
        </w:tc>
        <w:tc>
          <w:tcPr>
            <w:tcW w:w="888" w:type="pct"/>
            <w:gridSpan w:val="2"/>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电力管线</w:t>
            </w:r>
          </w:p>
        </w:tc>
        <w:tc>
          <w:tcPr>
            <w:tcW w:w="985" w:type="pct"/>
            <w:gridSpan w:val="2"/>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电信管线</w:t>
            </w:r>
          </w:p>
        </w:tc>
        <w:tc>
          <w:tcPr>
            <w:tcW w:w="493"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燃气管线</w:t>
            </w:r>
          </w:p>
        </w:tc>
        <w:tc>
          <w:tcPr>
            <w:tcW w:w="493"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给水管线</w:t>
            </w:r>
          </w:p>
        </w:tc>
        <w:tc>
          <w:tcPr>
            <w:tcW w:w="492"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雨水管线</w:t>
            </w:r>
          </w:p>
        </w:tc>
        <w:tc>
          <w:tcPr>
            <w:tcW w:w="493"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污水管线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53"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1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直埋</w:t>
            </w:r>
          </w:p>
        </w:tc>
        <w:tc>
          <w:tcPr>
            <w:tcW w:w="47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在导</w:t>
            </w: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管内</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直埋</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在导</w:t>
            </w: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r>
              <w:rPr>
                <w:rFonts w:hint="eastAsia" w:ascii="仿宋" w:hAnsi="仿宋" w:eastAsia="仿宋" w:cs="仿宋"/>
                <w:b/>
                <w:color w:val="auto"/>
                <w:sz w:val="24"/>
                <w:szCs w:val="24"/>
                <w:shd w:val="clear" w:color="auto" w:fill="auto"/>
              </w:rPr>
              <w:t>管内</w:t>
            </w:r>
          </w:p>
        </w:tc>
        <w:tc>
          <w:tcPr>
            <w:tcW w:w="49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9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9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49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15"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最小覆土深度</w:t>
            </w:r>
          </w:p>
        </w:tc>
        <w:tc>
          <w:tcPr>
            <w:tcW w:w="63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人行道</w:t>
            </w:r>
            <w:r>
              <w:rPr>
                <w:rFonts w:hint="eastAsia" w:ascii="仿宋" w:hAnsi="仿宋" w:eastAsia="仿宋" w:cs="仿宋"/>
                <w:color w:val="auto"/>
                <w:w w:val="100"/>
                <w:sz w:val="24"/>
                <w:szCs w:val="24"/>
                <w:shd w:val="clear" w:color="auto" w:fill="auto"/>
              </w:rPr>
              <w:t>下</w:t>
            </w:r>
          </w:p>
        </w:tc>
        <w:tc>
          <w:tcPr>
            <w:tcW w:w="41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0.7</w:t>
            </w:r>
          </w:p>
        </w:tc>
        <w:tc>
          <w:tcPr>
            <w:tcW w:w="47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5</w:t>
            </w:r>
            <w:r>
              <w:rPr>
                <w:rFonts w:hint="eastAsia" w:ascii="仿宋" w:hAnsi="仿宋" w:eastAsia="仿宋" w:cs="仿宋"/>
                <w:color w:val="auto"/>
                <w:sz w:val="24"/>
                <w:szCs w:val="24"/>
                <w:shd w:val="clear" w:color="auto" w:fill="auto"/>
              </w:rPr>
              <w:t>0</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6</w:t>
            </w:r>
            <w:r>
              <w:rPr>
                <w:rFonts w:hint="eastAsia" w:ascii="仿宋" w:hAnsi="仿宋" w:eastAsia="仿宋" w:cs="仿宋"/>
                <w:color w:val="auto"/>
                <w:sz w:val="24"/>
                <w:szCs w:val="24"/>
                <w:shd w:val="clear" w:color="auto" w:fill="auto"/>
              </w:rPr>
              <w:t>0</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5</w:t>
            </w:r>
            <w:r>
              <w:rPr>
                <w:rFonts w:hint="eastAsia" w:ascii="仿宋" w:hAnsi="仿宋" w:eastAsia="仿宋" w:cs="仿宋"/>
                <w:color w:val="auto"/>
                <w:sz w:val="24"/>
                <w:szCs w:val="24"/>
                <w:shd w:val="clear" w:color="auto" w:fill="auto"/>
              </w:rPr>
              <w:t>0</w:t>
            </w:r>
          </w:p>
        </w:tc>
        <w:tc>
          <w:tcPr>
            <w:tcW w:w="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0.60</w:t>
            </w:r>
          </w:p>
        </w:tc>
        <w:tc>
          <w:tcPr>
            <w:tcW w:w="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0.60</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0.60</w:t>
            </w:r>
          </w:p>
        </w:tc>
        <w:tc>
          <w:tcPr>
            <w:tcW w:w="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51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color w:val="auto"/>
                <w:sz w:val="24"/>
                <w:szCs w:val="24"/>
                <w:shd w:val="clear" w:color="auto" w:fill="auto"/>
              </w:rPr>
            </w:pPr>
          </w:p>
        </w:tc>
        <w:tc>
          <w:tcPr>
            <w:tcW w:w="63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车行道</w:t>
            </w:r>
            <w:r>
              <w:rPr>
                <w:rFonts w:hint="eastAsia" w:ascii="仿宋" w:hAnsi="仿宋" w:eastAsia="仿宋" w:cs="仿宋"/>
                <w:color w:val="auto"/>
                <w:w w:val="100"/>
                <w:sz w:val="24"/>
                <w:szCs w:val="24"/>
                <w:shd w:val="clear" w:color="auto" w:fill="auto"/>
              </w:rPr>
              <w:t>下</w:t>
            </w:r>
          </w:p>
        </w:tc>
        <w:tc>
          <w:tcPr>
            <w:tcW w:w="41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1.0</w:t>
            </w:r>
          </w:p>
        </w:tc>
        <w:tc>
          <w:tcPr>
            <w:tcW w:w="47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0.50</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rPr>
              <w:t>0.</w:t>
            </w:r>
            <w:r>
              <w:rPr>
                <w:rFonts w:hint="eastAsia" w:ascii="仿宋" w:hAnsi="仿宋" w:eastAsia="仿宋" w:cs="仿宋"/>
                <w:color w:val="auto"/>
                <w:sz w:val="24"/>
                <w:szCs w:val="24"/>
                <w:shd w:val="clear" w:color="auto" w:fill="auto"/>
                <w:lang w:val="en-US" w:eastAsia="zh-CN"/>
              </w:rPr>
              <w:t>90</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0.70</w:t>
            </w:r>
          </w:p>
        </w:tc>
        <w:tc>
          <w:tcPr>
            <w:tcW w:w="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0.90</w:t>
            </w:r>
          </w:p>
        </w:tc>
        <w:tc>
          <w:tcPr>
            <w:tcW w:w="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0.70</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0.70</w:t>
            </w:r>
          </w:p>
        </w:tc>
        <w:tc>
          <w:tcPr>
            <w:tcW w:w="49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0.70</w:t>
            </w:r>
          </w:p>
        </w:tc>
      </w:tr>
    </w:tbl>
    <w:p>
      <w:pPr>
        <w:pStyle w:val="11"/>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firstLine="42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 w:hAnsi="仿宋" w:eastAsia="仿宋" w:cs="仿宋"/>
          <w:color w:val="auto"/>
          <w:sz w:val="21"/>
          <w:szCs w:val="21"/>
          <w:shd w:val="clear" w:color="auto" w:fill="auto"/>
          <w:lang w:val="en-US" w:eastAsia="en-US"/>
        </w:rPr>
        <w:t>注：10KV以上直埋电力电缆管线的覆土深度不应小于1.0米。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综合管廊敷设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当遇下列情况之一时，</w:t>
      </w:r>
      <w:r>
        <w:rPr>
          <w:rFonts w:hint="eastAsia" w:ascii="仿宋" w:hAnsi="仿宋" w:eastAsia="仿宋" w:cs="仿宋"/>
          <w:color w:val="auto"/>
          <w:sz w:val="30"/>
          <w:szCs w:val="30"/>
          <w:shd w:val="clear" w:color="auto" w:fill="auto"/>
          <w:lang w:val="en-US" w:eastAsia="zh-CN"/>
        </w:rPr>
        <w:t>工程管线</w:t>
      </w:r>
      <w:r>
        <w:rPr>
          <w:rFonts w:hint="eastAsia" w:ascii="仿宋" w:hAnsi="仿宋" w:eastAsia="仿宋" w:cs="仿宋"/>
          <w:strike w:val="0"/>
          <w:dstrike w:val="0"/>
          <w:color w:val="auto"/>
          <w:sz w:val="30"/>
          <w:szCs w:val="30"/>
          <w:shd w:val="clear" w:color="auto" w:fill="auto"/>
          <w:lang w:val="en-US" w:eastAsia="zh-CN"/>
        </w:rPr>
        <w:t>宜</w:t>
      </w:r>
      <w:r>
        <w:rPr>
          <w:rFonts w:hint="eastAsia" w:ascii="仿宋" w:hAnsi="仿宋" w:eastAsia="仿宋" w:cs="仿宋"/>
          <w:color w:val="auto"/>
          <w:sz w:val="30"/>
          <w:szCs w:val="30"/>
          <w:shd w:val="clear" w:color="auto" w:fill="auto"/>
          <w:lang w:val="en-US" w:eastAsia="zh-CN"/>
        </w:rPr>
        <w:t>采用综合管廊敷设。</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eastAsia="zh-CN"/>
        </w:rPr>
        <w:t>交通流量大或地下管线密集的城市道路以及配合地铁、地下道路、城市地下综合体等工程建设地段;</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eastAsia="zh-CN"/>
        </w:rPr>
        <w:t>高强度中开发区域、重要的公共空间;</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eastAsia="zh-CN"/>
        </w:rPr>
        <w:t>道路宽度难以满足直埋或架空敷设多种管线的路段;</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4、</w:t>
      </w:r>
      <w:r>
        <w:rPr>
          <w:rFonts w:hint="eastAsia" w:ascii="仿宋" w:hAnsi="仿宋" w:eastAsia="仿宋" w:cs="仿宋"/>
          <w:color w:val="auto"/>
          <w:sz w:val="30"/>
          <w:szCs w:val="30"/>
          <w:shd w:val="clear" w:color="auto" w:fill="auto"/>
          <w:lang w:val="en-US" w:eastAsia="zh-CN"/>
        </w:rPr>
        <w:t>道路与铁路或河流的交叉处或管线复杂的道路交叉口;</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5、</w:t>
      </w:r>
      <w:r>
        <w:rPr>
          <w:rFonts w:hint="eastAsia" w:ascii="仿宋" w:hAnsi="仿宋" w:eastAsia="仿宋" w:cs="仿宋"/>
          <w:color w:val="auto"/>
          <w:sz w:val="30"/>
          <w:szCs w:val="30"/>
          <w:shd w:val="clear" w:color="auto" w:fill="auto"/>
          <w:lang w:val="en-US" w:eastAsia="zh-CN"/>
        </w:rPr>
        <w:t>不宜开挖路面的地段。</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综合管廊内可敷设电力、通信、给水、再生水、天然气、污水、雨水管线等城市工程管线。</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right="0" w:firstLine="600" w:firstLineChars="200"/>
        <w:textAlignment w:val="auto"/>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val="en-US" w:eastAsia="zh-CN"/>
        </w:rPr>
        <w:t>干线综合管廊宜设置在机动车道、道路绿化带下，支线综合管廊宜设置在绿化带、人行道或非机动车道下。综合管廊覆土深度应根据道路施工、行车荷载、其他地下管线、绿化种植以及设计冰冻深度等因素综合确定。</w:t>
      </w:r>
    </w:p>
    <w:p>
      <w:pPr>
        <w:pStyle w:val="2"/>
        <w:pageBreakBefore w:val="0"/>
        <w:numPr>
          <w:ilvl w:val="0"/>
          <w:numId w:val="3"/>
        </w:numPr>
        <w:kinsoku/>
        <w:wordWrap/>
        <w:overflowPunct/>
        <w:topLinePunct w:val="0"/>
        <w:autoSpaceDE/>
        <w:bidi w:val="0"/>
        <w:spacing w:line="360" w:lineRule="auto"/>
        <w:ind w:firstLine="723" w:firstLineChars="200"/>
        <w:jc w:val="center"/>
        <w:rPr>
          <w:rFonts w:hint="default"/>
          <w:color w:val="auto"/>
          <w:sz w:val="36"/>
          <w:szCs w:val="36"/>
          <w:shd w:val="clear" w:color="auto" w:fill="auto"/>
          <w:lang w:val="en-US" w:eastAsia="zh-CN"/>
        </w:rPr>
      </w:pPr>
      <w:r>
        <w:rPr>
          <w:rFonts w:hint="eastAsia"/>
          <w:color w:val="auto"/>
          <w:sz w:val="36"/>
          <w:szCs w:val="36"/>
          <w:shd w:val="clear" w:color="auto" w:fill="auto"/>
          <w:lang w:val="en-US" w:eastAsia="zh-CN"/>
        </w:rPr>
        <w:t xml:space="preserve"> </w:t>
      </w:r>
      <w:bookmarkStart w:id="29" w:name="_Toc21094"/>
      <w:r>
        <w:rPr>
          <w:rFonts w:hint="eastAsia"/>
          <w:color w:val="auto"/>
          <w:sz w:val="36"/>
          <w:szCs w:val="36"/>
          <w:shd w:val="clear" w:color="auto" w:fill="auto"/>
          <w:lang w:val="en-US" w:eastAsia="zh-CN"/>
        </w:rPr>
        <w:t>城市综合防灾减灾</w:t>
      </w:r>
      <w:bookmarkEnd w:id="29"/>
    </w:p>
    <w:p>
      <w:pPr>
        <w:pStyle w:val="3"/>
        <w:keepNext/>
        <w:keepLines/>
        <w:pageBreakBefore w:val="0"/>
        <w:widowControl w:val="0"/>
        <w:kinsoku/>
        <w:wordWrap/>
        <w:overflowPunct/>
        <w:topLinePunct w:val="0"/>
        <w:autoSpaceDE/>
        <w:autoSpaceDN/>
        <w:bidi w:val="0"/>
        <w:adjustRightInd/>
        <w:snapToGrid/>
        <w:spacing w:before="157" w:beforeLines="50" w:after="0" w:afterLines="0" w:line="360" w:lineRule="auto"/>
        <w:ind w:firstLine="640" w:firstLineChars="200"/>
        <w:jc w:val="center"/>
        <w:textAlignment w:val="auto"/>
        <w:rPr>
          <w:b w:val="0"/>
          <w:bCs/>
          <w:color w:val="auto"/>
          <w:shd w:val="clear" w:color="auto" w:fill="auto"/>
        </w:rPr>
      </w:pPr>
      <w:bookmarkStart w:id="30" w:name="_Toc1668"/>
      <w:r>
        <w:rPr>
          <w:rFonts w:hint="eastAsia"/>
          <w:b w:val="0"/>
          <w:bCs/>
          <w:color w:val="auto"/>
          <w:shd w:val="clear" w:color="auto" w:fill="auto"/>
        </w:rPr>
        <w:t>第一节  城市抗震防灾工程</w:t>
      </w:r>
      <w:bookmarkEnd w:id="30"/>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 w:hAnsi="仿宋" w:eastAsia="仿宋" w:cs="仿宋"/>
          <w:color w:val="auto"/>
          <w:sz w:val="30"/>
          <w:szCs w:val="30"/>
          <w:shd w:val="clear" w:color="auto" w:fill="auto"/>
        </w:rPr>
        <w:t>地震次生灾害防治</w:t>
      </w:r>
      <w:r>
        <w:rPr>
          <w:rFonts w:hint="eastAsia" w:ascii="仿宋_GB2312" w:hAnsi="仿宋_GB2312" w:eastAsia="仿宋_GB2312" w:cs="仿宋_GB2312"/>
          <w:color w:val="auto"/>
          <w:sz w:val="30"/>
          <w:szCs w:val="30"/>
          <w:shd w:val="clear" w:color="auto" w:fill="auto"/>
        </w:rPr>
        <w:t xml:space="preserve"> </w:t>
      </w:r>
    </w:p>
    <w:p>
      <w:pPr>
        <w:pStyle w:val="11"/>
        <w:pageBreakBefore w:val="0"/>
        <w:widowControl/>
        <w:shd w:val="clear" w:color="auto" w:fill="FFFFFF"/>
        <w:tabs>
          <w:tab w:val="left" w:pos="0"/>
        </w:tabs>
        <w:kinsoku/>
        <w:wordWrap/>
        <w:overflowPunct/>
        <w:topLinePunct w:val="0"/>
        <w:autoSpaceDE/>
        <w:bidi w:val="0"/>
        <w:spacing w:beforeAutospacing="0" w:afterAutospacing="0" w:line="360" w:lineRule="auto"/>
        <w:ind w:left="29" w:leftChars="14" w:firstLine="600" w:firstLineChars="200"/>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地震时可能发生严重次生灾害建设项目,不得选址在城市人口稠密地区，已建的应当逐步迁出；正在使用的，迁出前应采取必要的抗震防灾措施。</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rPr>
        <w:t>以下类项目开工建设前必须做地震安全性评估：</w:t>
      </w:r>
    </w:p>
    <w:p>
      <w:pPr>
        <w:pStyle w:val="11"/>
        <w:pageBreakBefore w:val="0"/>
        <w:widowControl/>
        <w:shd w:val="clear" w:color="auto" w:fill="FFFFFF"/>
        <w:tabs>
          <w:tab w:val="left" w:pos="0"/>
        </w:tabs>
        <w:kinsoku/>
        <w:wordWrap/>
        <w:overflowPunct/>
        <w:topLinePunct w:val="0"/>
        <w:autoSpaceDE/>
        <w:bidi w:val="0"/>
        <w:spacing w:beforeAutospacing="0" w:afterAutospacing="0" w:line="360" w:lineRule="auto"/>
        <w:ind w:left="29" w:leftChars="14" w:firstLine="600" w:firstLineChars="200"/>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rPr>
        <w:t>国家重大建设工程</w:t>
      </w:r>
    </w:p>
    <w:p>
      <w:pPr>
        <w:pStyle w:val="11"/>
        <w:pageBreakBefore w:val="0"/>
        <w:widowControl/>
        <w:shd w:val="clear" w:color="auto" w:fill="FFFFFF"/>
        <w:tabs>
          <w:tab w:val="left" w:pos="0"/>
        </w:tabs>
        <w:kinsoku/>
        <w:wordWrap/>
        <w:overflowPunct/>
        <w:topLinePunct w:val="0"/>
        <w:autoSpaceDE/>
        <w:bidi w:val="0"/>
        <w:spacing w:beforeAutospacing="0" w:afterAutospacing="0" w:line="360" w:lineRule="auto"/>
        <w:ind w:left="29" w:leftChars="14" w:firstLine="600" w:firstLineChars="200"/>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rPr>
        <w:t>受地震破坏后可能引发水、火、爆炸及剧毒或者强腐蚀性物质大量泄露或者其他严重次生的建设工程。</w:t>
      </w:r>
    </w:p>
    <w:p>
      <w:pPr>
        <w:pStyle w:val="11"/>
        <w:pageBreakBefore w:val="0"/>
        <w:widowControl/>
        <w:shd w:val="clear" w:color="auto" w:fill="FFFFFF"/>
        <w:tabs>
          <w:tab w:val="left" w:pos="0"/>
        </w:tabs>
        <w:kinsoku/>
        <w:wordWrap/>
        <w:overflowPunct/>
        <w:topLinePunct w:val="0"/>
        <w:autoSpaceDE/>
        <w:bidi w:val="0"/>
        <w:spacing w:beforeAutospacing="0" w:afterAutospacing="0" w:line="360" w:lineRule="auto"/>
        <w:ind w:left="29" w:leftChars="14" w:firstLine="600" w:firstLineChars="200"/>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sz w:val="30"/>
          <w:szCs w:val="30"/>
          <w:shd w:val="clear" w:color="auto" w:fill="auto"/>
        </w:rPr>
        <w:t>湖南省认为对</w:t>
      </w:r>
      <w:r>
        <w:rPr>
          <w:rFonts w:hint="eastAsia" w:ascii="仿宋" w:hAnsi="仿宋" w:eastAsia="仿宋" w:cs="仿宋"/>
          <w:color w:val="auto"/>
          <w:sz w:val="30"/>
          <w:szCs w:val="30"/>
          <w:shd w:val="clear" w:color="auto" w:fill="auto"/>
          <w:lang w:eastAsia="zh-CN"/>
        </w:rPr>
        <w:t>湘西自治州</w:t>
      </w:r>
      <w:r>
        <w:rPr>
          <w:rFonts w:hint="eastAsia" w:ascii="仿宋" w:hAnsi="仿宋" w:eastAsia="仿宋" w:cs="仿宋"/>
          <w:color w:val="auto"/>
          <w:sz w:val="30"/>
          <w:szCs w:val="30"/>
          <w:shd w:val="clear" w:color="auto" w:fill="auto"/>
        </w:rPr>
        <w:t>有重大价值或有重大影响的其他建设工程。</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避震疏散场所</w:t>
      </w:r>
    </w:p>
    <w:p>
      <w:pPr>
        <w:pStyle w:val="6"/>
        <w:pageBreakBefore w:val="0"/>
        <w:kinsoku/>
        <w:wordWrap/>
        <w:overflowPunct/>
        <w:topLinePunct w:val="0"/>
        <w:autoSpaceDE/>
        <w:bidi w:val="0"/>
        <w:spacing w:before="0" w:line="360" w:lineRule="auto"/>
        <w:ind w:left="0" w:firstLine="600" w:firstLineChars="200"/>
        <w:rPr>
          <w:rFonts w:ascii="仿宋_GB2312" w:hAnsi="仿宋_GB2312" w:eastAsia="仿宋_GB2312" w:cs="仿宋_GB2312"/>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rPr>
        <w:t>避震疏散场所不应选址在不适宜的建设用地范围内，宜结合广场、绿地、体育场馆、学校操场等开放空间设置。</w:t>
      </w:r>
    </w:p>
    <w:p>
      <w:pPr>
        <w:pStyle w:val="6"/>
        <w:pageBreakBefore w:val="0"/>
        <w:kinsoku/>
        <w:wordWrap/>
        <w:overflowPunct/>
        <w:topLinePunct w:val="0"/>
        <w:autoSpaceDE/>
        <w:bidi w:val="0"/>
        <w:spacing w:before="0" w:line="360" w:lineRule="auto"/>
        <w:ind w:left="0" w:firstLine="600" w:firstLineChars="200"/>
        <w:rPr>
          <w:rFonts w:ascii="仿宋_GB2312" w:hAnsi="仿宋_GB2312" w:eastAsia="仿宋_GB2312" w:cs="仿宋_GB2312"/>
          <w:color w:val="auto"/>
          <w:sz w:val="30"/>
          <w:szCs w:val="30"/>
          <w:shd w:val="clear" w:color="auto" w:fill="auto"/>
          <w:lang w:val="en-US"/>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rPr>
        <w:t>避震疏散场所每位避震人员的平均有效避难面积，应符合：</w:t>
      </w:r>
    </w:p>
    <w:p>
      <w:pPr>
        <w:pStyle w:val="6"/>
        <w:pageBreakBefore w:val="0"/>
        <w:kinsoku/>
        <w:wordWrap/>
        <w:overflowPunct/>
        <w:topLinePunct w:val="0"/>
        <w:autoSpaceDE/>
        <w:bidi w:val="0"/>
        <w:spacing w:before="0" w:line="360" w:lineRule="auto"/>
        <w:ind w:left="0" w:firstLine="600" w:firstLineChars="200"/>
        <w:rPr>
          <w:rFonts w:ascii="仿宋_GB2312" w:hAnsi="仿宋_GB2312" w:eastAsia="仿宋_GB2312" w:cs="仿宋_GB2312"/>
          <w:color w:val="auto"/>
          <w:sz w:val="30"/>
          <w:szCs w:val="30"/>
          <w:shd w:val="clear" w:color="auto" w:fill="auto"/>
          <w:lang w:val="en-US"/>
        </w:rPr>
      </w:pPr>
      <w:r>
        <w:rPr>
          <w:rFonts w:hint="eastAsia" w:ascii="仿宋_GB2312" w:hAnsi="仿宋_GB2312" w:eastAsia="仿宋_GB2312" w:cs="仿宋_GB2312"/>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rPr>
        <w:t>紧急避震疏散场所人均有效避难面积不小于1平方米，作为紧急避震疏散场所的超高层建筑避难层（间）的人均有效避难面积不小于0.2平方米；</w:t>
      </w:r>
    </w:p>
    <w:p>
      <w:pPr>
        <w:pStyle w:val="6"/>
        <w:pageBreakBefore w:val="0"/>
        <w:kinsoku/>
        <w:wordWrap/>
        <w:overflowPunct/>
        <w:topLinePunct w:val="0"/>
        <w:autoSpaceDE/>
        <w:bidi w:val="0"/>
        <w:spacing w:before="0" w:line="360" w:lineRule="auto"/>
        <w:ind w:left="0" w:firstLine="600" w:firstLineChars="200"/>
        <w:rPr>
          <w:rFonts w:ascii="仿宋_GB2312" w:hAnsi="仿宋_GB2312" w:eastAsia="仿宋_GB2312" w:cs="仿宋_GB2312"/>
          <w:color w:val="auto"/>
          <w:sz w:val="30"/>
          <w:szCs w:val="30"/>
          <w:shd w:val="clear" w:color="auto" w:fill="auto"/>
          <w:lang w:val="en-US"/>
        </w:rPr>
      </w:pPr>
      <w:r>
        <w:rPr>
          <w:rFonts w:hint="eastAsia" w:ascii="仿宋_GB2312" w:hAnsi="仿宋_GB2312" w:eastAsia="仿宋_GB2312" w:cs="仿宋_GB2312"/>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rPr>
        <w:t>固定避震疏散场所人均有效避难面积不小于2平方米。</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rPr>
        <w:t>避震疏散场地的规模：紧急避震疏散场地的用地不宜小于0.1公顷，固定避震疏散场地不宜小于1公顷，中心避震疏散场地不宜小于50公顷。</w:t>
      </w:r>
    </w:p>
    <w:p>
      <w:pPr>
        <w:pStyle w:val="6"/>
        <w:pageBreakBefore w:val="0"/>
        <w:kinsoku/>
        <w:wordWrap/>
        <w:overflowPunct/>
        <w:topLinePunct w:val="0"/>
        <w:autoSpaceDE/>
        <w:bidi w:val="0"/>
        <w:spacing w:before="0" w:line="360" w:lineRule="auto"/>
        <w:ind w:left="0" w:firstLine="600" w:firstLineChars="200"/>
        <w:rPr>
          <w:rFonts w:ascii="仿宋_GB2312" w:hAnsi="仿宋_GB2312" w:eastAsia="仿宋_GB2312" w:cs="仿宋_GB2312"/>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（4）</w:t>
      </w:r>
      <w:r>
        <w:rPr>
          <w:rFonts w:hint="eastAsia" w:ascii="仿宋" w:hAnsi="仿宋" w:eastAsia="仿宋" w:cs="仿宋"/>
          <w:color w:val="auto"/>
          <w:sz w:val="30"/>
          <w:szCs w:val="30"/>
          <w:shd w:val="clear" w:color="auto" w:fill="auto"/>
          <w:lang w:val="en-US"/>
        </w:rPr>
        <w:t>紧急避震疏散场所的服务半径宜为500米，步行大约10分钟之内可以到达；固定避震疏散场所的服务半径宜为2～3公里，步行大约1小时之内可以到达。</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避震疏散通道</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rPr>
        <w:t>避震疏散场地人员进出口与车辆进出口宜分开设置，并应有多个不同方向的进出口。人防工程应按照有关规定设立进出口，防灾据点至少应有一个进口与一个出口。其他固定避难疏散场所至少应有两个进口和两个出口。</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rPr>
        <w:t>紧急避震疏散场所内外的避震疏散通道有效宽度不宜低于4米，固定避震疏散场所内外的避震疏散主通道有效宽度不宜低于7米。与城市出入口、中心避震疏散场所、市政府抗震救灾指挥中心相连的救灾主干道有效宽度不宜低于15米。</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地质灾害防治</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基本准则：地质灾害防治应坚持预防为主、避让与治理相结合的原则。城市建设应避开活动断层、地质灾害危险区，并尽量避开地质灾害高易发区。</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应科学保护和合理利用地下水，在岩溶塌陷地质灾害易发区应严格实施对地下水开发利用的管理，其他地段应采用增加城市建设区透水地面面积、人工回灌等方式补充地下水，促进地下水补、径、排达到平衡。</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编制地质灾害易发区内的国土空间总体规划、</w:t>
      </w:r>
      <w:r>
        <w:rPr>
          <w:rFonts w:hint="eastAsia" w:ascii="仿宋" w:hAnsi="仿宋" w:eastAsia="仿宋" w:cs="仿宋"/>
          <w:color w:val="auto"/>
          <w:sz w:val="30"/>
          <w:szCs w:val="30"/>
          <w:shd w:val="clear" w:color="auto" w:fill="auto"/>
          <w:lang w:val="en-US" w:eastAsia="zh-CN"/>
        </w:rPr>
        <w:t>详细规划、相关专项规划等</w:t>
      </w:r>
      <w:r>
        <w:rPr>
          <w:rFonts w:hint="eastAsia" w:ascii="仿宋" w:hAnsi="仿宋" w:eastAsia="仿宋" w:cs="仿宋"/>
          <w:color w:val="auto"/>
          <w:sz w:val="30"/>
          <w:szCs w:val="30"/>
          <w:shd w:val="clear" w:color="auto" w:fill="auto"/>
          <w:lang w:val="en-US"/>
        </w:rPr>
        <w:t>，应当对规划区进行地质灾害危险性评估。</w:t>
      </w:r>
    </w:p>
    <w:p>
      <w:pPr>
        <w:pStyle w:val="3"/>
        <w:keepNext/>
        <w:keepLines/>
        <w:pageBreakBefore w:val="0"/>
        <w:widowControl w:val="0"/>
        <w:kinsoku/>
        <w:wordWrap/>
        <w:overflowPunct/>
        <w:topLinePunct w:val="0"/>
        <w:autoSpaceDE/>
        <w:autoSpaceDN/>
        <w:bidi w:val="0"/>
        <w:adjustRightInd/>
        <w:snapToGrid/>
        <w:spacing w:before="157" w:beforeLines="50" w:after="0" w:afterLines="0" w:line="360" w:lineRule="auto"/>
        <w:ind w:firstLine="640" w:firstLineChars="200"/>
        <w:jc w:val="center"/>
        <w:textAlignment w:val="auto"/>
        <w:rPr>
          <w:rFonts w:hint="eastAsia" w:eastAsia="黑体"/>
          <w:b w:val="0"/>
          <w:bCs/>
          <w:color w:val="auto"/>
          <w:shd w:val="clear" w:color="auto" w:fill="auto"/>
          <w:lang w:eastAsia="zh-CN"/>
        </w:rPr>
      </w:pPr>
      <w:bookmarkStart w:id="31" w:name="_TOC_250020"/>
      <w:bookmarkEnd w:id="31"/>
      <w:bookmarkStart w:id="32" w:name="_Toc26470"/>
      <w:bookmarkStart w:id="33" w:name="_Toc4753"/>
      <w:r>
        <w:rPr>
          <w:rFonts w:hint="eastAsia"/>
          <w:b w:val="0"/>
          <w:bCs/>
          <w:color w:val="auto"/>
          <w:shd w:val="clear" w:color="auto" w:fill="auto"/>
        </w:rPr>
        <w:t>第二节  城市消防</w:t>
      </w:r>
      <w:bookmarkEnd w:id="32"/>
      <w:bookmarkEnd w:id="33"/>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消防站</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 xml:space="preserve">消防站的选址和建设应符合《城市消防站建设标准》（建标152-2017) </w:t>
      </w:r>
      <w:r>
        <w:rPr>
          <w:rFonts w:hint="eastAsia" w:ascii="仿宋" w:hAnsi="仿宋" w:eastAsia="仿宋" w:cs="仿宋"/>
          <w:color w:val="auto"/>
          <w:sz w:val="30"/>
          <w:szCs w:val="30"/>
          <w:shd w:val="clear" w:color="auto" w:fill="auto"/>
          <w:lang w:val="en-US" w:eastAsia="zh-CN"/>
        </w:rPr>
        <w:t>、《城市消防站设计规范》（GB 51054-2014）等</w:t>
      </w:r>
      <w:r>
        <w:rPr>
          <w:rFonts w:hint="eastAsia" w:ascii="仿宋" w:hAnsi="仿宋" w:eastAsia="仿宋" w:cs="仿宋"/>
          <w:color w:val="auto"/>
          <w:sz w:val="30"/>
          <w:szCs w:val="30"/>
          <w:shd w:val="clear" w:color="auto" w:fill="auto"/>
          <w:lang w:val="en-US"/>
        </w:rPr>
        <w:t>规定。</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Chars="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rPr>
        <w:t>消防站辖区面积应符合下列规定：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城市一级站辖区不宜大于7</w:t>
      </w:r>
      <w:r>
        <w:rPr>
          <w:rFonts w:hint="eastAsia" w:ascii="仿宋" w:hAnsi="仿宋" w:eastAsia="仿宋" w:cs="仿宋"/>
          <w:color w:val="auto"/>
          <w:sz w:val="30"/>
          <w:szCs w:val="30"/>
          <w:shd w:val="clear" w:color="auto" w:fill="auto"/>
          <w:lang w:val="en-US" w:eastAsia="zh-CN"/>
        </w:rPr>
        <w:t>平方千米</w:t>
      </w:r>
      <w:r>
        <w:rPr>
          <w:rFonts w:hint="eastAsia" w:ascii="仿宋" w:hAnsi="仿宋" w:eastAsia="仿宋" w:cs="仿宋"/>
          <w:color w:val="auto"/>
          <w:sz w:val="30"/>
          <w:szCs w:val="30"/>
          <w:shd w:val="clear" w:color="auto" w:fill="auto"/>
          <w:lang w:val="en-US"/>
        </w:rPr>
        <w:t>；二级站不宜大于4</w:t>
      </w:r>
      <w:r>
        <w:rPr>
          <w:rFonts w:hint="eastAsia" w:ascii="仿宋" w:hAnsi="仿宋" w:eastAsia="仿宋" w:cs="仿宋"/>
          <w:color w:val="auto"/>
          <w:sz w:val="30"/>
          <w:szCs w:val="30"/>
          <w:shd w:val="clear" w:color="auto" w:fill="auto"/>
          <w:lang w:val="en-US" w:eastAsia="zh-CN"/>
        </w:rPr>
        <w:t>平方千米</w:t>
      </w:r>
      <w:r>
        <w:rPr>
          <w:rFonts w:hint="eastAsia" w:ascii="仿宋" w:hAnsi="仿宋" w:eastAsia="仿宋" w:cs="仿宋"/>
          <w:color w:val="auto"/>
          <w:sz w:val="30"/>
          <w:szCs w:val="30"/>
          <w:shd w:val="clear" w:color="auto" w:fill="auto"/>
          <w:lang w:val="en-US"/>
        </w:rPr>
        <w:t>；小型站不宜大于2</w:t>
      </w:r>
      <w:r>
        <w:rPr>
          <w:rFonts w:hint="eastAsia" w:ascii="仿宋" w:hAnsi="仿宋" w:eastAsia="仿宋" w:cs="仿宋"/>
          <w:color w:val="auto"/>
          <w:sz w:val="30"/>
          <w:szCs w:val="30"/>
          <w:shd w:val="clear" w:color="auto" w:fill="auto"/>
          <w:lang w:val="en-US" w:eastAsia="zh-CN"/>
        </w:rPr>
        <w:t>平方千米</w:t>
      </w:r>
      <w:r>
        <w:rPr>
          <w:rFonts w:hint="eastAsia" w:ascii="仿宋" w:hAnsi="仿宋" w:eastAsia="仿宋" w:cs="仿宋"/>
          <w:color w:val="auto"/>
          <w:sz w:val="30"/>
          <w:szCs w:val="30"/>
          <w:shd w:val="clear" w:color="auto" w:fill="auto"/>
          <w:lang w:val="en-US"/>
        </w:rPr>
        <w:t>；设在近郊区的普通站辖区不应大于15</w:t>
      </w:r>
      <w:r>
        <w:rPr>
          <w:rFonts w:hint="eastAsia" w:ascii="仿宋" w:hAnsi="仿宋" w:eastAsia="仿宋" w:cs="仿宋"/>
          <w:color w:val="auto"/>
          <w:sz w:val="30"/>
          <w:szCs w:val="30"/>
          <w:shd w:val="clear" w:color="auto" w:fill="auto"/>
          <w:lang w:val="en-US" w:eastAsia="zh-CN"/>
        </w:rPr>
        <w:t>平方千米</w:t>
      </w:r>
      <w:r>
        <w:rPr>
          <w:rFonts w:hint="eastAsia" w:ascii="仿宋" w:hAnsi="仿宋" w:eastAsia="仿宋" w:cs="仿宋"/>
          <w:color w:val="auto"/>
          <w:sz w:val="30"/>
          <w:szCs w:val="30"/>
          <w:shd w:val="clear" w:color="auto" w:fill="auto"/>
          <w:lang w:val="en-US"/>
        </w:rPr>
        <w:t xml:space="preserve">。也可以针对火灾风险，通过评估方法确定消防站辖区面积。 </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 xml:space="preserve">特勤消防站兼有辖区灭火救援任务的，其辖区面积同一级站。 </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 xml:space="preserve">战勤保障消防站不单独划分辖区面积。 </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rPr>
        <w:t>消防站建筑面积指标应符合下列规定：</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一级站 2700～4000</w:t>
      </w:r>
      <w:r>
        <w:rPr>
          <w:rFonts w:hint="eastAsia" w:ascii="仿宋" w:hAnsi="仿宋" w:eastAsia="仿宋" w:cs="仿宋"/>
          <w:color w:val="auto"/>
          <w:sz w:val="30"/>
          <w:szCs w:val="30"/>
          <w:shd w:val="clear" w:color="auto" w:fill="auto"/>
          <w:lang w:val="en-US" w:eastAsia="zh-CN"/>
        </w:rPr>
        <w:t>平方米</w:t>
      </w:r>
      <w:r>
        <w:rPr>
          <w:rFonts w:hint="eastAsia" w:ascii="仿宋" w:hAnsi="仿宋" w:eastAsia="仿宋" w:cs="仿宋"/>
          <w:color w:val="auto"/>
          <w:sz w:val="30"/>
          <w:szCs w:val="30"/>
          <w:shd w:val="clear" w:color="auto" w:fill="auto"/>
          <w:lang w:val="en-US"/>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 xml:space="preserve">二级站 1800 ～2700 </w:t>
      </w:r>
      <w:r>
        <w:rPr>
          <w:rFonts w:hint="eastAsia" w:ascii="仿宋" w:hAnsi="仿宋" w:eastAsia="仿宋" w:cs="仿宋"/>
          <w:color w:val="auto"/>
          <w:sz w:val="30"/>
          <w:szCs w:val="30"/>
          <w:shd w:val="clear" w:color="auto" w:fill="auto"/>
          <w:lang w:val="en-US" w:eastAsia="zh-CN"/>
        </w:rPr>
        <w:t>平方米</w:t>
      </w:r>
      <w:r>
        <w:rPr>
          <w:rFonts w:hint="eastAsia" w:ascii="仿宋" w:hAnsi="仿宋" w:eastAsia="仿宋" w:cs="仿宋"/>
          <w:color w:val="auto"/>
          <w:sz w:val="30"/>
          <w:szCs w:val="30"/>
          <w:shd w:val="clear" w:color="auto" w:fill="auto"/>
          <w:lang w:val="en-US"/>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小型站 650～1000</w:t>
      </w:r>
      <w:r>
        <w:rPr>
          <w:rFonts w:hint="eastAsia" w:ascii="仿宋" w:hAnsi="仿宋" w:eastAsia="仿宋" w:cs="仿宋"/>
          <w:color w:val="auto"/>
          <w:sz w:val="30"/>
          <w:szCs w:val="30"/>
          <w:shd w:val="clear" w:color="auto" w:fill="auto"/>
          <w:lang w:val="en-US" w:eastAsia="zh-CN"/>
        </w:rPr>
        <w:t>平方米</w:t>
      </w:r>
      <w:r>
        <w:rPr>
          <w:rFonts w:hint="eastAsia" w:ascii="仿宋" w:hAnsi="仿宋" w:eastAsia="仿宋" w:cs="仿宋"/>
          <w:color w:val="auto"/>
          <w:sz w:val="30"/>
          <w:szCs w:val="30"/>
          <w:shd w:val="clear" w:color="auto" w:fill="auto"/>
          <w:lang w:val="en-US"/>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特勤站4000～5600</w:t>
      </w:r>
      <w:r>
        <w:rPr>
          <w:rFonts w:hint="eastAsia" w:ascii="仿宋" w:hAnsi="仿宋" w:eastAsia="仿宋" w:cs="仿宋"/>
          <w:color w:val="auto"/>
          <w:sz w:val="30"/>
          <w:szCs w:val="30"/>
          <w:shd w:val="clear" w:color="auto" w:fill="auto"/>
          <w:lang w:val="en-US" w:eastAsia="zh-CN"/>
        </w:rPr>
        <w:t>平方米</w:t>
      </w:r>
      <w:r>
        <w:rPr>
          <w:rFonts w:hint="eastAsia" w:ascii="仿宋" w:hAnsi="仿宋" w:eastAsia="仿宋" w:cs="仿宋"/>
          <w:color w:val="auto"/>
          <w:sz w:val="30"/>
          <w:szCs w:val="30"/>
          <w:shd w:val="clear" w:color="auto" w:fill="auto"/>
          <w:lang w:val="en-US"/>
        </w:rPr>
        <w:t>；</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firstLine="600" w:firstLineChars="200"/>
        <w:textAlignment w:val="auto"/>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战勤保障消防站4800</w:t>
      </w:r>
      <w:r>
        <w:rPr>
          <w:rFonts w:hint="eastAsia" w:ascii="仿宋" w:hAnsi="仿宋" w:eastAsia="仿宋" w:cs="仿宋"/>
          <w:color w:val="auto"/>
          <w:sz w:val="30"/>
          <w:szCs w:val="30"/>
          <w:shd w:val="clear" w:color="auto" w:fill="auto"/>
          <w:lang w:val="en-US" w:eastAsia="zh-CN"/>
        </w:rPr>
        <w:t>平方米</w:t>
      </w:r>
      <w:r>
        <w:rPr>
          <w:rFonts w:hint="eastAsia" w:ascii="仿宋" w:hAnsi="仿宋" w:eastAsia="仿宋" w:cs="仿宋"/>
          <w:color w:val="auto"/>
          <w:sz w:val="30"/>
          <w:szCs w:val="30"/>
          <w:shd w:val="clear" w:color="auto" w:fill="auto"/>
          <w:lang w:val="en-US"/>
        </w:rPr>
        <w:t>～7200</w:t>
      </w:r>
      <w:r>
        <w:rPr>
          <w:rFonts w:hint="eastAsia" w:ascii="仿宋" w:hAnsi="仿宋" w:eastAsia="仿宋" w:cs="仿宋"/>
          <w:color w:val="auto"/>
          <w:sz w:val="30"/>
          <w:szCs w:val="30"/>
          <w:shd w:val="clear" w:color="auto" w:fill="auto"/>
          <w:lang w:val="en-US" w:eastAsia="zh-CN"/>
        </w:rPr>
        <w:t>平方米</w:t>
      </w:r>
      <w:r>
        <w:rPr>
          <w:rFonts w:hint="eastAsia" w:ascii="仿宋" w:hAnsi="仿宋" w:eastAsia="仿宋" w:cs="仿宋"/>
          <w:color w:val="auto"/>
          <w:sz w:val="30"/>
          <w:szCs w:val="30"/>
          <w:shd w:val="clear" w:color="auto" w:fill="auto"/>
          <w:lang w:val="en-US"/>
        </w:rPr>
        <w:t>。</w:t>
      </w:r>
    </w:p>
    <w:p>
      <w:pPr>
        <w:pStyle w:val="6"/>
        <w:pageBreakBefore w:val="0"/>
        <w:kinsoku/>
        <w:wordWrap/>
        <w:overflowPunct/>
        <w:topLinePunct w:val="0"/>
        <w:autoSpaceDE/>
        <w:bidi w:val="0"/>
        <w:spacing w:before="0" w:line="360" w:lineRule="auto"/>
        <w:ind w:left="0" w:firstLine="600" w:firstLineChars="200"/>
        <w:rPr>
          <w:rFonts w:ascii="仿宋_GB2312" w:hAnsi="仿宋_GB2312" w:eastAsia="仿宋_GB2312" w:cs="仿宋_GB2312"/>
          <w:color w:val="auto"/>
          <w:sz w:val="30"/>
          <w:szCs w:val="30"/>
          <w:shd w:val="clear" w:color="auto" w:fill="auto"/>
          <w:lang w:val="en-US"/>
        </w:rPr>
      </w:pPr>
      <w:r>
        <w:rPr>
          <w:rFonts w:hint="eastAsia" w:ascii="仿宋_GB2312" w:hAnsi="仿宋_GB2312" w:eastAsia="仿宋_GB2312" w:cs="仿宋_GB2312"/>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en-US"/>
        </w:rPr>
        <w:t>各类消防站容积率宜为0.5-0.6。小型站容积率可取0.8-0.9，如绿化用地难以保证时，容积率宜控制在1.0-1.1。</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消防通道</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en-US"/>
        </w:rPr>
        <w:t>消防车道的净宽、净空高度均不得小于4米</w:t>
      </w:r>
      <w:r>
        <w:rPr>
          <w:rFonts w:hint="eastAsia" w:ascii="仿宋" w:hAnsi="仿宋" w:eastAsia="仿宋" w:cs="仿宋"/>
          <w:color w:val="auto"/>
          <w:sz w:val="30"/>
          <w:szCs w:val="30"/>
          <w:shd w:val="clear" w:color="auto" w:fill="auto"/>
          <w:lang w:val="en-US" w:eastAsia="zh-CN"/>
        </w:rPr>
        <w:t>，</w:t>
      </w:r>
      <w:r>
        <w:rPr>
          <w:rFonts w:hint="eastAsia" w:ascii="仿宋" w:hAnsi="仿宋" w:eastAsia="仿宋" w:cs="仿宋"/>
          <w:color w:val="auto"/>
          <w:sz w:val="30"/>
          <w:szCs w:val="30"/>
          <w:shd w:val="clear" w:color="auto" w:fill="auto"/>
          <w:lang w:val="en-US"/>
        </w:rPr>
        <w:t>对于需要通行特种消防车辆的</w:t>
      </w:r>
      <w:r>
        <w:rPr>
          <w:rFonts w:hint="eastAsia" w:ascii="仿宋" w:hAnsi="仿宋" w:eastAsia="仿宋" w:cs="仿宋"/>
          <w:color w:val="auto"/>
          <w:sz w:val="30"/>
          <w:szCs w:val="30"/>
          <w:shd w:val="clear" w:color="auto" w:fill="auto"/>
          <w:lang w:val="en-US" w:eastAsia="zh-CN"/>
        </w:rPr>
        <w:t>部分城市</w:t>
      </w:r>
      <w:r>
        <w:rPr>
          <w:rFonts w:hint="eastAsia" w:ascii="仿宋" w:hAnsi="仿宋" w:eastAsia="仿宋" w:cs="仿宋"/>
          <w:color w:val="auto"/>
          <w:sz w:val="30"/>
          <w:szCs w:val="30"/>
          <w:shd w:val="clear" w:color="auto" w:fill="auto"/>
          <w:lang w:val="en-US"/>
        </w:rPr>
        <w:t>建筑物、道路桥梁</w:t>
      </w:r>
      <w:r>
        <w:rPr>
          <w:rFonts w:hint="eastAsia" w:ascii="仿宋" w:hAnsi="仿宋" w:eastAsia="仿宋" w:cs="仿宋"/>
          <w:color w:val="auto"/>
          <w:sz w:val="30"/>
          <w:szCs w:val="30"/>
          <w:shd w:val="clear" w:color="auto" w:fill="auto"/>
          <w:lang w:val="en-US" w:eastAsia="zh-CN"/>
        </w:rPr>
        <w:t>区域</w:t>
      </w:r>
      <w:r>
        <w:rPr>
          <w:rFonts w:hint="eastAsia" w:ascii="仿宋" w:hAnsi="仿宋" w:eastAsia="仿宋" w:cs="仿宋"/>
          <w:color w:val="auto"/>
          <w:sz w:val="30"/>
          <w:szCs w:val="30"/>
          <w:shd w:val="clear" w:color="auto" w:fill="auto"/>
          <w:lang w:val="en-US"/>
        </w:rPr>
        <w:t>，还应根据消防车实际情况增加车道净宽与净空。</w:t>
      </w:r>
      <w:r>
        <w:rPr>
          <w:rFonts w:hint="eastAsia" w:ascii="仿宋" w:hAnsi="仿宋" w:eastAsia="仿宋" w:cs="仿宋"/>
          <w:color w:val="auto"/>
          <w:sz w:val="30"/>
          <w:szCs w:val="30"/>
          <w:shd w:val="clear" w:color="auto" w:fill="auto"/>
          <w:lang w:val="en-US" w:eastAsia="zh-CN"/>
        </w:rPr>
        <w:t>消防车道</w:t>
      </w:r>
      <w:r>
        <w:rPr>
          <w:rFonts w:hint="eastAsia" w:ascii="仿宋" w:hAnsi="仿宋" w:eastAsia="仿宋" w:cs="仿宋"/>
          <w:color w:val="auto"/>
          <w:sz w:val="30"/>
          <w:szCs w:val="30"/>
          <w:shd w:val="clear" w:color="auto" w:fill="auto"/>
          <w:lang w:val="en-US"/>
        </w:rPr>
        <w:t xml:space="preserve">坡度不应大于8%；供消防车停靠操作的消防车道坡度不宜大于3%。环形消防车道至少应有两处与其他车道连通。尽头式消防车道应设置回车道或回车场，回车场地的面积不应小于12×12米；对于高层住宅，回车场不宜小于15×15米，供大型消防车使用时，不宜小于18×18米。消防车道转弯半径不小于12米。 </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en-US"/>
        </w:rPr>
        <w:t>建筑物沿街道部分长度超过150米或总长度超过220米时，应设置穿过建筑的消防车道；确有困难时，应设置环形消防车道。有封闭内院或天井的建筑物，当内院和天井的短边长度大于24米时，宜设置进入内院和天井的消防车道，当建筑物沿街时，应设置连通街道和内院的人行通道（可利用楼梯），其距离不宜超过80米。沿街建筑长度超过160米时应设置人行消防通道。</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消火栓</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消火栓应连接城市自来水管网。室外消火栓的间距不</w:t>
      </w:r>
      <w:r>
        <w:rPr>
          <w:rFonts w:hint="eastAsia" w:ascii="仿宋" w:hAnsi="仿宋" w:eastAsia="仿宋" w:cs="仿宋"/>
          <w:color w:val="auto"/>
          <w:sz w:val="30"/>
          <w:szCs w:val="30"/>
          <w:shd w:val="clear" w:color="auto" w:fill="auto"/>
          <w:lang w:val="en-US" w:eastAsia="zh-CN"/>
        </w:rPr>
        <w:t>宜</w:t>
      </w:r>
      <w:r>
        <w:rPr>
          <w:rFonts w:hint="eastAsia" w:ascii="仿宋" w:hAnsi="仿宋" w:eastAsia="仿宋" w:cs="仿宋"/>
          <w:color w:val="auto"/>
          <w:sz w:val="30"/>
          <w:szCs w:val="30"/>
          <w:shd w:val="clear" w:color="auto" w:fill="auto"/>
          <w:lang w:val="en-US"/>
        </w:rPr>
        <w:t>超过120米；道路宽度超过60米时，宜在道路两侧设置消火栓，宜靠近十字路口；室外消火栓距建筑物外墙不应小于5米，距</w:t>
      </w:r>
      <w:r>
        <w:rPr>
          <w:rFonts w:hint="eastAsia" w:ascii="仿宋" w:hAnsi="仿宋" w:eastAsia="仿宋" w:cs="仿宋"/>
          <w:color w:val="auto"/>
          <w:sz w:val="30"/>
          <w:szCs w:val="30"/>
          <w:shd w:val="clear" w:color="auto" w:fill="auto"/>
          <w:lang w:val="en-US" w:eastAsia="zh-CN"/>
        </w:rPr>
        <w:t>路缘石</w:t>
      </w:r>
      <w:r>
        <w:rPr>
          <w:rFonts w:hint="eastAsia" w:ascii="仿宋" w:hAnsi="仿宋" w:eastAsia="仿宋" w:cs="仿宋"/>
          <w:color w:val="auto"/>
          <w:sz w:val="30"/>
          <w:szCs w:val="30"/>
          <w:shd w:val="clear" w:color="auto" w:fill="auto"/>
          <w:lang w:val="en-US"/>
        </w:rPr>
        <w:t>不应超过2米，其位置不得有碍行人通行。</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 xml:space="preserve">消防车登高操作场地 </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高层建筑消防扑救面</w:t>
      </w:r>
      <w:r>
        <w:rPr>
          <w:rFonts w:hint="eastAsia" w:ascii="仿宋" w:hAnsi="仿宋" w:eastAsia="仿宋" w:cs="仿宋"/>
          <w:color w:val="auto"/>
          <w:sz w:val="30"/>
          <w:szCs w:val="30"/>
          <w:shd w:val="clear" w:color="auto" w:fill="auto"/>
          <w:lang w:val="en-US"/>
        </w:rPr>
        <w:t>至少沿一个长边或周边长度1/4且不小于一个长边长度的底边连续布置</w:t>
      </w:r>
      <w:r>
        <w:rPr>
          <w:rFonts w:hint="eastAsia" w:ascii="仿宋" w:hAnsi="仿宋" w:eastAsia="仿宋" w:cs="仿宋"/>
          <w:color w:val="auto"/>
          <w:sz w:val="30"/>
          <w:szCs w:val="30"/>
          <w:shd w:val="clear" w:color="auto" w:fill="auto"/>
          <w:lang w:val="en-US" w:eastAsia="zh-CN"/>
        </w:rPr>
        <w:t>消防扑救面</w:t>
      </w:r>
      <w:r>
        <w:rPr>
          <w:rFonts w:hint="eastAsia" w:ascii="仿宋" w:hAnsi="仿宋" w:eastAsia="仿宋" w:cs="仿宋"/>
          <w:color w:val="auto"/>
          <w:sz w:val="30"/>
          <w:szCs w:val="30"/>
          <w:shd w:val="clear" w:color="auto" w:fill="auto"/>
          <w:lang w:val="en-US"/>
        </w:rPr>
        <w:t>，该范围内的裙房进深不应大于4米，其建筑高度不应大于5</w:t>
      </w:r>
      <w:r>
        <w:rPr>
          <w:rFonts w:hint="eastAsia" w:ascii="仿宋" w:hAnsi="仿宋" w:eastAsia="仿宋" w:cs="仿宋"/>
          <w:color w:val="auto"/>
          <w:sz w:val="30"/>
          <w:szCs w:val="30"/>
          <w:shd w:val="clear" w:color="auto" w:fill="auto"/>
          <w:lang w:val="en-US" w:eastAsia="zh-CN"/>
        </w:rPr>
        <w:t>米</w:t>
      </w:r>
      <w:r>
        <w:rPr>
          <w:rFonts w:hint="eastAsia" w:ascii="仿宋" w:hAnsi="仿宋" w:eastAsia="仿宋" w:cs="仿宋"/>
          <w:color w:val="auto"/>
          <w:sz w:val="30"/>
          <w:szCs w:val="30"/>
          <w:shd w:val="clear" w:color="auto" w:fill="auto"/>
          <w:lang w:val="en-US"/>
        </w:rPr>
        <w:t>。建筑高度大于50</w:t>
      </w:r>
      <w:r>
        <w:rPr>
          <w:rFonts w:hint="eastAsia" w:ascii="仿宋" w:hAnsi="仿宋" w:eastAsia="仿宋" w:cs="仿宋"/>
          <w:color w:val="auto"/>
          <w:sz w:val="30"/>
          <w:szCs w:val="30"/>
          <w:shd w:val="clear" w:color="auto" w:fill="auto"/>
          <w:lang w:val="en-US" w:eastAsia="zh-CN"/>
        </w:rPr>
        <w:t>米</w:t>
      </w:r>
      <w:r>
        <w:rPr>
          <w:rFonts w:hint="eastAsia" w:ascii="仿宋" w:hAnsi="仿宋" w:eastAsia="仿宋" w:cs="仿宋"/>
          <w:color w:val="auto"/>
          <w:sz w:val="30"/>
          <w:szCs w:val="30"/>
          <w:shd w:val="clear" w:color="auto" w:fill="auto"/>
          <w:lang w:val="en-US"/>
        </w:rPr>
        <w:t>且连续布置消防车登高操作场地有困难时，可间隔布置，但间隔距离不宜大于30</w:t>
      </w:r>
      <w:r>
        <w:rPr>
          <w:rFonts w:hint="eastAsia" w:ascii="仿宋" w:hAnsi="仿宋" w:eastAsia="仿宋" w:cs="仿宋"/>
          <w:color w:val="auto"/>
          <w:sz w:val="30"/>
          <w:szCs w:val="30"/>
          <w:shd w:val="clear" w:color="auto" w:fill="auto"/>
          <w:lang w:val="en-US" w:eastAsia="zh-CN"/>
        </w:rPr>
        <w:t>米</w:t>
      </w:r>
      <w:r>
        <w:rPr>
          <w:rFonts w:hint="eastAsia" w:ascii="仿宋" w:hAnsi="仿宋" w:eastAsia="仿宋" w:cs="仿宋"/>
          <w:color w:val="auto"/>
          <w:sz w:val="30"/>
          <w:szCs w:val="30"/>
          <w:shd w:val="clear" w:color="auto" w:fill="auto"/>
          <w:lang w:val="en-US"/>
        </w:rPr>
        <w:t>。 高层建筑</w:t>
      </w:r>
      <w:r>
        <w:rPr>
          <w:rFonts w:hint="eastAsia" w:ascii="仿宋" w:hAnsi="仿宋" w:eastAsia="仿宋" w:cs="仿宋"/>
          <w:color w:val="auto"/>
          <w:sz w:val="30"/>
          <w:szCs w:val="30"/>
          <w:shd w:val="clear" w:color="auto" w:fill="auto"/>
          <w:lang w:val="en-US" w:eastAsia="zh-CN"/>
        </w:rPr>
        <w:t>消防</w:t>
      </w:r>
      <w:r>
        <w:rPr>
          <w:rFonts w:hint="eastAsia" w:ascii="仿宋" w:hAnsi="仿宋" w:eastAsia="仿宋" w:cs="仿宋"/>
          <w:color w:val="auto"/>
          <w:sz w:val="30"/>
          <w:szCs w:val="30"/>
          <w:shd w:val="clear" w:color="auto" w:fill="auto"/>
          <w:lang w:val="en-US"/>
        </w:rPr>
        <w:t>扑救面与相邻建筑应保持一定距离。</w:t>
      </w:r>
      <w:r>
        <w:rPr>
          <w:rFonts w:hint="eastAsia" w:ascii="仿宋" w:hAnsi="仿宋" w:eastAsia="仿宋" w:cs="仿宋"/>
          <w:color w:val="auto"/>
          <w:sz w:val="30"/>
          <w:szCs w:val="30"/>
          <w:shd w:val="clear" w:color="auto" w:fill="auto"/>
          <w:lang w:val="en-US" w:eastAsia="zh-CN"/>
        </w:rPr>
        <w:t>消防扑救面</w:t>
      </w:r>
      <w:r>
        <w:rPr>
          <w:rFonts w:hint="eastAsia" w:ascii="仿宋" w:hAnsi="仿宋" w:eastAsia="仿宋" w:cs="仿宋"/>
          <w:color w:val="auto"/>
          <w:sz w:val="30"/>
          <w:szCs w:val="30"/>
          <w:shd w:val="clear" w:color="auto" w:fill="auto"/>
          <w:lang w:val="en-US"/>
        </w:rPr>
        <w:t>应靠近住宅的公共楼梯或阳台、窗；</w:t>
      </w:r>
      <w:r>
        <w:rPr>
          <w:rFonts w:hint="eastAsia" w:ascii="仿宋" w:hAnsi="仿宋" w:eastAsia="仿宋" w:cs="仿宋"/>
          <w:color w:val="auto"/>
          <w:sz w:val="30"/>
          <w:szCs w:val="30"/>
          <w:shd w:val="clear" w:color="auto" w:fill="auto"/>
          <w:lang w:val="en-US" w:eastAsia="zh-CN"/>
        </w:rPr>
        <w:t>消防扑救面</w:t>
      </w:r>
      <w:r>
        <w:rPr>
          <w:rFonts w:hint="eastAsia" w:ascii="仿宋" w:hAnsi="仿宋" w:eastAsia="仿宋" w:cs="仿宋"/>
          <w:color w:val="auto"/>
          <w:sz w:val="30"/>
          <w:szCs w:val="30"/>
          <w:shd w:val="clear" w:color="auto" w:fill="auto"/>
          <w:lang w:val="en-US"/>
        </w:rPr>
        <w:t xml:space="preserve">不宜设计大面积玻璃幕墙。 </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消防车登高操作场地内不应规划停车位，消防车登高操作场地与建筑之间不应设置影响消防车登高操作的树木、架空管线等障碍物和车库出入口；消防车登高操作场地的长度和宽度分别不应小于15米和10米，对于超过50米的高层建筑，长度和宽度分别不应小于20米和10米。场地靠建筑外墙一侧的边缘距离建筑外墙不宜小于5米，且不应大于10米。</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消防车登高操作场地及其下面的建筑结构、管道和暗沟等，应能承受重型消防车</w:t>
      </w:r>
      <w:r>
        <w:rPr>
          <w:rFonts w:hint="eastAsia" w:ascii="仿宋" w:hAnsi="仿宋" w:eastAsia="仿宋" w:cs="仿宋"/>
          <w:color w:val="auto"/>
          <w:sz w:val="30"/>
          <w:szCs w:val="30"/>
          <w:shd w:val="clear" w:color="auto" w:fill="auto"/>
          <w:lang w:val="en-US" w:eastAsia="zh-CN"/>
        </w:rPr>
        <w:t>的压力</w:t>
      </w:r>
      <w:r>
        <w:rPr>
          <w:rFonts w:hint="eastAsia" w:ascii="仿宋" w:hAnsi="仿宋" w:eastAsia="仿宋" w:cs="仿宋"/>
          <w:color w:val="auto"/>
          <w:sz w:val="30"/>
          <w:szCs w:val="30"/>
          <w:shd w:val="clear" w:color="auto" w:fill="auto"/>
          <w:lang w:val="en-US"/>
        </w:rPr>
        <w:t>。</w:t>
      </w:r>
    </w:p>
    <w:p>
      <w:pPr>
        <w:pStyle w:val="3"/>
        <w:keepNext/>
        <w:keepLines/>
        <w:pageBreakBefore w:val="0"/>
        <w:widowControl w:val="0"/>
        <w:kinsoku/>
        <w:wordWrap/>
        <w:overflowPunct/>
        <w:topLinePunct w:val="0"/>
        <w:autoSpaceDE/>
        <w:autoSpaceDN/>
        <w:bidi w:val="0"/>
        <w:adjustRightInd/>
        <w:snapToGrid/>
        <w:spacing w:before="157" w:beforeLines="50" w:after="0" w:afterLines="0" w:line="360" w:lineRule="auto"/>
        <w:ind w:firstLine="640" w:firstLineChars="200"/>
        <w:jc w:val="center"/>
        <w:textAlignment w:val="auto"/>
        <w:rPr>
          <w:rFonts w:hint="eastAsia"/>
          <w:b w:val="0"/>
          <w:bCs/>
          <w:color w:val="auto"/>
          <w:shd w:val="clear" w:color="auto" w:fill="auto"/>
        </w:rPr>
      </w:pPr>
      <w:bookmarkStart w:id="34" w:name="_TOC_250019"/>
      <w:bookmarkEnd w:id="34"/>
      <w:bookmarkStart w:id="35" w:name="_TOC_250018"/>
      <w:bookmarkEnd w:id="35"/>
      <w:bookmarkStart w:id="36" w:name="_Toc6899"/>
      <w:bookmarkStart w:id="37" w:name="_Toc8955"/>
      <w:r>
        <w:rPr>
          <w:rFonts w:hint="eastAsia"/>
          <w:b w:val="0"/>
          <w:bCs/>
          <w:color w:val="auto"/>
          <w:shd w:val="clear" w:color="auto" w:fill="auto"/>
        </w:rPr>
        <w:t>第</w:t>
      </w:r>
      <w:r>
        <w:rPr>
          <w:rFonts w:hint="eastAsia"/>
          <w:b w:val="0"/>
          <w:bCs/>
          <w:color w:val="auto"/>
          <w:shd w:val="clear" w:color="auto" w:fill="auto"/>
          <w:lang w:eastAsia="zh-CN"/>
        </w:rPr>
        <w:t>三</w:t>
      </w:r>
      <w:r>
        <w:rPr>
          <w:rFonts w:hint="eastAsia"/>
          <w:b w:val="0"/>
          <w:bCs/>
          <w:color w:val="auto"/>
          <w:shd w:val="clear" w:color="auto" w:fill="auto"/>
        </w:rPr>
        <w:t>节  城市防洪排涝</w:t>
      </w:r>
      <w:bookmarkEnd w:id="36"/>
      <w:bookmarkEnd w:id="37"/>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城市防洪规划</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城市防洪规划应与国土空间规划</w:t>
      </w:r>
      <w:r>
        <w:rPr>
          <w:rFonts w:hint="eastAsia" w:ascii="仿宋" w:hAnsi="仿宋" w:eastAsia="仿宋" w:cs="仿宋"/>
          <w:color w:val="auto"/>
          <w:sz w:val="30"/>
          <w:szCs w:val="30"/>
          <w:shd w:val="clear" w:color="auto" w:fill="auto"/>
          <w:lang w:val="en-US" w:eastAsia="zh-CN"/>
        </w:rPr>
        <w:t>、</w:t>
      </w:r>
      <w:r>
        <w:rPr>
          <w:rFonts w:hint="eastAsia" w:ascii="仿宋" w:hAnsi="仿宋" w:eastAsia="仿宋" w:cs="仿宋"/>
          <w:color w:val="auto"/>
          <w:sz w:val="30"/>
          <w:szCs w:val="30"/>
          <w:shd w:val="clear" w:color="auto" w:fill="auto"/>
          <w:lang w:val="en-US" w:eastAsia="zh-CN"/>
        </w:rPr>
        <w:t>河道划界成果等</w:t>
      </w:r>
      <w:r>
        <w:rPr>
          <w:rFonts w:hint="eastAsia" w:ascii="仿宋" w:hAnsi="仿宋" w:eastAsia="仿宋" w:cs="仿宋"/>
          <w:color w:val="auto"/>
          <w:sz w:val="30"/>
          <w:szCs w:val="30"/>
          <w:shd w:val="clear" w:color="auto" w:fill="auto"/>
          <w:lang w:val="en-US"/>
        </w:rPr>
        <w:t>相协调</w:t>
      </w:r>
      <w:r>
        <w:rPr>
          <w:rFonts w:hint="eastAsia" w:ascii="仿宋" w:hAnsi="仿宋" w:eastAsia="仿宋" w:cs="仿宋"/>
          <w:color w:val="auto"/>
          <w:sz w:val="30"/>
          <w:szCs w:val="30"/>
          <w:shd w:val="clear" w:color="auto" w:fill="auto"/>
          <w:lang w:val="en-US"/>
        </w:rPr>
        <w:t>。采取全面规划、综合治理、合理利用、蓄泄结合、以泄为主的方针，将工程防治措施与非工程防治措施结合。</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防洪工程的规划建设，宜与水质改善、生态恢复、水文化营造、城市景观和航运布局紧密结合。防治工程应符合海绵城市建设要求。</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河道规划在满足城市防洪要求的同时应采用生态堤岸，并宜保持天然走向。河道</w:t>
      </w:r>
      <w:r>
        <w:rPr>
          <w:rFonts w:hint="eastAsia" w:ascii="仿宋" w:hAnsi="仿宋" w:eastAsia="仿宋" w:cs="仿宋"/>
          <w:color w:val="auto"/>
          <w:sz w:val="30"/>
          <w:szCs w:val="30"/>
          <w:shd w:val="clear" w:color="auto" w:fill="auto"/>
          <w:lang w:val="en-US" w:eastAsia="zh-CN"/>
        </w:rPr>
        <w:t>严禁</w:t>
      </w:r>
      <w:r>
        <w:rPr>
          <w:rFonts w:hint="eastAsia" w:ascii="仿宋" w:hAnsi="仿宋" w:eastAsia="仿宋" w:cs="仿宋"/>
          <w:color w:val="auto"/>
          <w:sz w:val="30"/>
          <w:szCs w:val="30"/>
          <w:shd w:val="clear" w:color="auto" w:fill="auto"/>
          <w:lang w:val="en-US"/>
        </w:rPr>
        <w:t>被覆盖，已覆盖的河道在有条件的情况下宜逐步打开并恢复河道的自然形态。</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河道、水域堤岸管理与保护</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河道、水域堤岸管理与保护应满足下列要求：</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河道、水域等堤岸管理与保护应符合</w:t>
      </w:r>
      <w:r>
        <w:rPr>
          <w:rFonts w:hint="eastAsia" w:ascii="仿宋" w:hAnsi="仿宋" w:eastAsia="仿宋" w:cs="仿宋"/>
          <w:color w:val="auto"/>
          <w:sz w:val="30"/>
          <w:szCs w:val="30"/>
          <w:shd w:val="clear" w:color="auto" w:fill="auto"/>
          <w:lang w:val="en-US" w:eastAsia="zh-CN"/>
        </w:rPr>
        <w:t>湘西自治州</w:t>
      </w:r>
      <w:r>
        <w:rPr>
          <w:rFonts w:hint="eastAsia" w:ascii="仿宋" w:hAnsi="仿宋" w:eastAsia="仿宋" w:cs="仿宋"/>
          <w:color w:val="auto"/>
          <w:sz w:val="30"/>
          <w:szCs w:val="30"/>
          <w:shd w:val="clear" w:color="auto" w:fill="auto"/>
          <w:lang w:val="en-US"/>
        </w:rPr>
        <w:t>蓝线管理的相关规定，并按照城市蓝线管理的相关规定，对其周边区域的土地利用和建设活动进行规划控制。</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有堤防的河道管理与保护范围包括两岸堤防之间的水域、沙洲、滩地、行蓄洪区和堤防以及自堤防背水坡坡脚线外延30米（城镇段不少于10米，未进行达标整治的堤防按30～100米）宽的地域。无堤防的河道管理范围包括水域、沙洲、滩地和现有河道上口线两侧外延各20米（城镇段不少于10米，未进行达标整治的堤防按20～50米）宽的地域。在保护范围内的建设应由政府相关部门审批通过后方能实施。</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eastAsia="zh-CN"/>
        </w:rPr>
        <w:t>湘西自治州</w:t>
      </w:r>
      <w:r>
        <w:rPr>
          <w:rFonts w:hint="eastAsia" w:ascii="仿宋" w:hAnsi="仿宋" w:eastAsia="仿宋" w:cs="仿宋"/>
          <w:color w:val="auto"/>
          <w:sz w:val="30"/>
          <w:szCs w:val="30"/>
          <w:shd w:val="clear" w:color="auto" w:fill="auto"/>
          <w:lang w:val="en-US"/>
        </w:rPr>
        <w:t>防洪标准应根据保护对象重要性程度，凤凰县按100年一遇防洪标准设防，</w:t>
      </w:r>
      <w:r>
        <w:rPr>
          <w:rFonts w:hint="eastAsia" w:ascii="仿宋" w:hAnsi="仿宋" w:eastAsia="仿宋" w:cs="仿宋"/>
          <w:color w:val="auto"/>
          <w:sz w:val="30"/>
          <w:szCs w:val="30"/>
          <w:shd w:val="clear" w:color="auto" w:fill="auto"/>
          <w:lang w:eastAsia="zh-CN" w:bidi="ar"/>
        </w:rPr>
        <w:t>湘西自治州</w:t>
      </w:r>
      <w:r>
        <w:rPr>
          <w:rFonts w:hint="eastAsia" w:ascii="仿宋" w:hAnsi="仿宋" w:eastAsia="仿宋" w:cs="仿宋"/>
          <w:color w:val="auto"/>
          <w:sz w:val="30"/>
          <w:szCs w:val="30"/>
          <w:shd w:val="clear" w:color="auto" w:fill="auto"/>
          <w:lang w:bidi="ar"/>
        </w:rPr>
        <w:t>州府（吉首市）</w:t>
      </w:r>
      <w:r>
        <w:rPr>
          <w:rFonts w:hint="eastAsia" w:ascii="仿宋" w:hAnsi="仿宋" w:eastAsia="仿宋" w:cs="仿宋"/>
          <w:color w:val="auto"/>
          <w:sz w:val="30"/>
          <w:szCs w:val="30"/>
          <w:shd w:val="clear" w:color="auto" w:fill="auto"/>
          <w:lang w:eastAsia="zh-CN" w:bidi="ar"/>
        </w:rPr>
        <w:t>以及</w:t>
      </w:r>
      <w:r>
        <w:rPr>
          <w:rFonts w:hint="eastAsia" w:ascii="仿宋" w:hAnsi="仿宋" w:eastAsia="仿宋" w:cs="仿宋"/>
          <w:color w:val="auto"/>
          <w:sz w:val="30"/>
          <w:szCs w:val="30"/>
          <w:shd w:val="clear" w:color="auto" w:fill="auto"/>
        </w:rPr>
        <w:t>湘西高新区</w:t>
      </w:r>
      <w:r>
        <w:rPr>
          <w:rFonts w:hint="eastAsia" w:ascii="仿宋" w:hAnsi="仿宋" w:eastAsia="仿宋" w:cs="仿宋"/>
          <w:color w:val="auto"/>
          <w:sz w:val="30"/>
          <w:szCs w:val="30"/>
          <w:shd w:val="clear" w:color="auto" w:fill="auto"/>
          <w:lang w:val="en-US"/>
        </w:rPr>
        <w:t>按50年一遇防洪标准设防，泸溪县、古丈县、花垣县、保靖县、永顺县、龙山县等6个县城按20年一遇防洪标准设防。</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城市防洪工程等级</w:t>
      </w:r>
    </w:p>
    <w:p>
      <w:pPr>
        <w:pStyle w:val="6"/>
        <w:pageBreakBefore w:val="0"/>
        <w:kinsoku/>
        <w:wordWrap/>
        <w:overflowPunct/>
        <w:topLinePunct w:val="0"/>
        <w:autoSpaceDE/>
        <w:bidi w:val="0"/>
        <w:spacing w:before="0" w:line="360" w:lineRule="auto"/>
        <w:ind w:left="0" w:firstLine="600" w:firstLineChars="200"/>
        <w:rPr>
          <w:rFonts w:hint="eastAsia" w:ascii="仿宋_GB2312" w:hAnsi="仿宋_GB2312" w:eastAsia="仿宋_GB2312" w:cs="仿宋_GB2312"/>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依据《城市防洪工程设计规范》（GB/T50805-2012），对城市防洪工程等别进行划分。</w:t>
      </w:r>
      <w:r>
        <w:rPr>
          <w:rFonts w:hint="eastAsia" w:ascii="仿宋_GB2312" w:hAnsi="仿宋_GB2312" w:eastAsia="仿宋_GB2312" w:cs="仿宋_GB2312"/>
          <w:color w:val="auto"/>
          <w:sz w:val="30"/>
          <w:szCs w:val="30"/>
          <w:shd w:val="clear" w:color="auto" w:fill="auto"/>
          <w:lang w:val="en-US"/>
        </w:rPr>
        <w:t xml:space="preserve"> </w:t>
      </w:r>
    </w:p>
    <w:p>
      <w:pPr>
        <w:pageBreakBefore w:val="0"/>
        <w:kinsoku/>
        <w:wordWrap/>
        <w:overflowPunct/>
        <w:topLinePunct w:val="0"/>
        <w:autoSpaceDE/>
        <w:bidi w:val="0"/>
        <w:spacing w:line="360" w:lineRule="auto"/>
        <w:ind w:firstLine="562" w:firstLineChars="200"/>
        <w:jc w:val="center"/>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表7.1  城市防洪工程等别表</w:t>
      </w:r>
    </w:p>
    <w:tbl>
      <w:tblPr>
        <w:tblStyle w:val="1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02"/>
        <w:gridCol w:w="3044"/>
        <w:gridCol w:w="3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44"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lang w:val="en-US"/>
              </w:rPr>
            </w:pPr>
            <w:r>
              <w:rPr>
                <w:rFonts w:hint="eastAsia" w:ascii="仿宋" w:hAnsi="仿宋" w:eastAsia="仿宋" w:cs="仿宋"/>
                <w:b/>
                <w:bCs/>
                <w:color w:val="auto"/>
                <w:w w:val="105"/>
                <w:sz w:val="24"/>
                <w:szCs w:val="24"/>
                <w:shd w:val="clear" w:color="auto" w:fill="auto"/>
                <w:lang w:val="en-US"/>
              </w:rPr>
              <w:t>城市防洪工程等别</w:t>
            </w:r>
          </w:p>
        </w:tc>
        <w:tc>
          <w:tcPr>
            <w:tcW w:w="3855" w:type="pct"/>
            <w:gridSpan w:val="2"/>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lang w:val="en-US"/>
              </w:rPr>
            </w:pPr>
            <w:r>
              <w:rPr>
                <w:rFonts w:hint="eastAsia" w:ascii="仿宋" w:hAnsi="仿宋" w:eastAsia="仿宋" w:cs="仿宋"/>
                <w:b/>
                <w:bCs/>
                <w:color w:val="auto"/>
                <w:w w:val="105"/>
                <w:sz w:val="24"/>
                <w:szCs w:val="24"/>
                <w:shd w:val="clear" w:color="auto" w:fill="auto"/>
                <w:lang w:val="en-US"/>
              </w:rPr>
              <w:t>分等指标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44"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lang w:val="en-US"/>
              </w:rPr>
            </w:pPr>
          </w:p>
        </w:tc>
        <w:tc>
          <w:tcPr>
            <w:tcW w:w="183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lang w:val="en-US"/>
              </w:rPr>
            </w:pPr>
            <w:r>
              <w:rPr>
                <w:rFonts w:hint="eastAsia" w:ascii="仿宋" w:hAnsi="仿宋" w:eastAsia="仿宋" w:cs="仿宋"/>
                <w:b/>
                <w:bCs/>
                <w:color w:val="auto"/>
                <w:w w:val="105"/>
                <w:sz w:val="24"/>
                <w:szCs w:val="24"/>
                <w:shd w:val="clear" w:color="auto" w:fill="auto"/>
                <w:lang w:val="en-US"/>
              </w:rPr>
              <w:t>防洪保护对象的重要程度</w:t>
            </w:r>
          </w:p>
        </w:tc>
        <w:tc>
          <w:tcPr>
            <w:tcW w:w="20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zCs w:val="24"/>
                <w:shd w:val="clear" w:color="auto" w:fill="auto"/>
                <w:lang w:val="en-US"/>
              </w:rPr>
            </w:pPr>
            <w:r>
              <w:rPr>
                <w:rFonts w:hint="eastAsia" w:ascii="仿宋" w:hAnsi="仿宋" w:eastAsia="仿宋" w:cs="仿宋"/>
                <w:b/>
                <w:bCs/>
                <w:color w:val="auto"/>
                <w:w w:val="105"/>
                <w:sz w:val="24"/>
                <w:szCs w:val="24"/>
                <w:shd w:val="clear" w:color="auto" w:fill="auto"/>
                <w:lang w:val="en-US"/>
              </w:rPr>
              <w:t>防洪保护区人口（万人）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4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Ⅱ</w:t>
            </w:r>
          </w:p>
        </w:tc>
        <w:tc>
          <w:tcPr>
            <w:tcW w:w="183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重要</w:t>
            </w:r>
          </w:p>
        </w:tc>
        <w:tc>
          <w:tcPr>
            <w:tcW w:w="20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≥50 且＜150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4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Ⅲ</w:t>
            </w:r>
          </w:p>
        </w:tc>
        <w:tc>
          <w:tcPr>
            <w:tcW w:w="183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比较重要</w:t>
            </w:r>
          </w:p>
        </w:tc>
        <w:tc>
          <w:tcPr>
            <w:tcW w:w="20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＞20 且＜50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14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Ⅳ</w:t>
            </w:r>
          </w:p>
        </w:tc>
        <w:tc>
          <w:tcPr>
            <w:tcW w:w="1830"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一般重要</w:t>
            </w:r>
          </w:p>
        </w:tc>
        <w:tc>
          <w:tcPr>
            <w:tcW w:w="202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zCs w:val="24"/>
                <w:shd w:val="clear" w:color="auto" w:fill="auto"/>
                <w:lang w:val="en-US"/>
              </w:rPr>
            </w:pPr>
            <w:r>
              <w:rPr>
                <w:rFonts w:hint="eastAsia" w:ascii="仿宋" w:hAnsi="仿宋" w:eastAsia="仿宋" w:cs="仿宋"/>
                <w:color w:val="auto"/>
                <w:w w:val="105"/>
                <w:sz w:val="24"/>
                <w:szCs w:val="24"/>
                <w:shd w:val="clear" w:color="auto" w:fill="auto"/>
                <w:lang w:val="en-US"/>
              </w:rPr>
              <w:t>≤20</w:t>
            </w:r>
          </w:p>
        </w:tc>
      </w:tr>
    </w:tbl>
    <w:p>
      <w:pPr>
        <w:pStyle w:val="11"/>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注：防洪保护区人口指城市防洪工程保护区内的常住人口。</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表7.2  城市防洪工程设计标准表</w:t>
      </w:r>
    </w:p>
    <w:tbl>
      <w:tblPr>
        <w:tblStyle w:val="1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15"/>
        <w:gridCol w:w="2101"/>
        <w:gridCol w:w="2383"/>
        <w:gridCol w:w="2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1" w:type="pct"/>
            <w:vMerge w:val="restar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r>
              <w:rPr>
                <w:rFonts w:hint="eastAsia" w:ascii="仿宋" w:hAnsi="仿宋" w:eastAsia="仿宋" w:cs="仿宋"/>
                <w:b/>
                <w:bCs/>
                <w:color w:val="auto"/>
                <w:w w:val="105"/>
                <w:sz w:val="24"/>
                <w:shd w:val="clear" w:color="auto" w:fill="auto"/>
                <w:lang w:val="en-US"/>
              </w:rPr>
              <w:t>城市防洪</w:t>
            </w:r>
          </w:p>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r>
              <w:rPr>
                <w:rFonts w:hint="eastAsia" w:ascii="仿宋" w:hAnsi="仿宋" w:eastAsia="仿宋" w:cs="仿宋"/>
                <w:b/>
                <w:bCs/>
                <w:color w:val="auto"/>
                <w:w w:val="105"/>
                <w:sz w:val="24"/>
                <w:shd w:val="clear" w:color="auto" w:fill="auto"/>
                <w:lang w:val="en-US"/>
              </w:rPr>
              <w:t>工程等别</w:t>
            </w:r>
          </w:p>
        </w:tc>
        <w:tc>
          <w:tcPr>
            <w:tcW w:w="4148" w:type="pct"/>
            <w:gridSpan w:val="3"/>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r>
              <w:rPr>
                <w:rFonts w:hint="eastAsia" w:ascii="仿宋" w:hAnsi="仿宋" w:eastAsia="仿宋" w:cs="仿宋"/>
                <w:b/>
                <w:bCs/>
                <w:color w:val="auto"/>
                <w:w w:val="105"/>
                <w:sz w:val="24"/>
                <w:shd w:val="clear" w:color="auto" w:fill="auto"/>
                <w:lang w:val="en-US"/>
              </w:rPr>
              <w:t>设计标准（年）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851" w:type="pct"/>
            <w:vMerge w:val="continue"/>
            <w:tcBorders>
              <w:top w:val="nil"/>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p>
        </w:tc>
        <w:tc>
          <w:tcPr>
            <w:tcW w:w="126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r>
              <w:rPr>
                <w:rFonts w:hint="eastAsia" w:ascii="仿宋" w:hAnsi="仿宋" w:eastAsia="仿宋" w:cs="仿宋"/>
                <w:b/>
                <w:bCs/>
                <w:color w:val="auto"/>
                <w:w w:val="105"/>
                <w:sz w:val="24"/>
                <w:shd w:val="clear" w:color="auto" w:fill="auto"/>
                <w:lang w:val="en-US"/>
              </w:rPr>
              <w:t>洪水</w:t>
            </w:r>
          </w:p>
        </w:tc>
        <w:tc>
          <w:tcPr>
            <w:tcW w:w="143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r>
              <w:rPr>
                <w:rFonts w:hint="eastAsia" w:ascii="仿宋" w:hAnsi="仿宋" w:eastAsia="仿宋" w:cs="仿宋"/>
                <w:b/>
                <w:bCs/>
                <w:color w:val="auto"/>
                <w:w w:val="105"/>
                <w:sz w:val="24"/>
                <w:shd w:val="clear" w:color="auto" w:fill="auto"/>
                <w:lang w:val="en-US"/>
              </w:rPr>
              <w:t>涝水</w:t>
            </w:r>
          </w:p>
        </w:tc>
        <w:tc>
          <w:tcPr>
            <w:tcW w:w="14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b/>
                <w:bCs/>
                <w:color w:val="auto"/>
                <w:w w:val="105"/>
                <w:sz w:val="24"/>
                <w:shd w:val="clear" w:color="auto" w:fill="auto"/>
                <w:lang w:val="en-US"/>
              </w:rPr>
            </w:pPr>
            <w:r>
              <w:rPr>
                <w:rFonts w:hint="eastAsia" w:ascii="仿宋" w:hAnsi="仿宋" w:eastAsia="仿宋" w:cs="仿宋"/>
                <w:b/>
                <w:bCs/>
                <w:color w:val="auto"/>
                <w:w w:val="105"/>
                <w:sz w:val="24"/>
                <w:shd w:val="clear" w:color="auto" w:fill="auto"/>
                <w:lang w:val="en-US"/>
              </w:rPr>
              <w:t>山洪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Ⅱ</w:t>
            </w:r>
          </w:p>
        </w:tc>
        <w:tc>
          <w:tcPr>
            <w:tcW w:w="126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≥100 且＜200</w:t>
            </w:r>
          </w:p>
        </w:tc>
        <w:tc>
          <w:tcPr>
            <w:tcW w:w="143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≥10 且＜20</w:t>
            </w:r>
          </w:p>
        </w:tc>
        <w:tc>
          <w:tcPr>
            <w:tcW w:w="14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≥30 且＜50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8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Ⅲ</w:t>
            </w:r>
          </w:p>
        </w:tc>
        <w:tc>
          <w:tcPr>
            <w:tcW w:w="126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≥50 且＜100</w:t>
            </w:r>
          </w:p>
        </w:tc>
        <w:tc>
          <w:tcPr>
            <w:tcW w:w="143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≥10 且＜20</w:t>
            </w:r>
          </w:p>
        </w:tc>
        <w:tc>
          <w:tcPr>
            <w:tcW w:w="14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≥20 且＜30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Ⅳ</w:t>
            </w:r>
          </w:p>
        </w:tc>
        <w:tc>
          <w:tcPr>
            <w:tcW w:w="126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≥20 且＜50</w:t>
            </w:r>
          </w:p>
        </w:tc>
        <w:tc>
          <w:tcPr>
            <w:tcW w:w="1433"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≥5 且＜10</w:t>
            </w:r>
          </w:p>
        </w:tc>
        <w:tc>
          <w:tcPr>
            <w:tcW w:w="145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ascii="仿宋" w:hAnsi="仿宋" w:eastAsia="仿宋" w:cs="仿宋"/>
                <w:color w:val="auto"/>
                <w:w w:val="105"/>
                <w:sz w:val="24"/>
                <w:shd w:val="clear" w:color="auto" w:fill="auto"/>
                <w:lang w:val="en-US"/>
              </w:rPr>
            </w:pPr>
            <w:r>
              <w:rPr>
                <w:rFonts w:hint="eastAsia" w:ascii="仿宋" w:hAnsi="仿宋" w:eastAsia="仿宋" w:cs="仿宋"/>
                <w:color w:val="auto"/>
                <w:w w:val="105"/>
                <w:sz w:val="24"/>
                <w:shd w:val="clear" w:color="auto" w:fill="auto"/>
                <w:lang w:val="en-US"/>
              </w:rPr>
              <w:t>≥10 且＜20</w:t>
            </w:r>
          </w:p>
        </w:tc>
      </w:tr>
    </w:tbl>
    <w:p>
      <w:pPr>
        <w:pStyle w:val="11"/>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ascii="仿宋_GB2312" w:hAnsi="仿宋_GB2312" w:eastAsia="仿宋_GB2312" w:cs="仿宋_GB2312"/>
          <w:color w:val="auto"/>
          <w:shd w:val="clear" w:color="auto" w:fill="auto"/>
        </w:rPr>
      </w:pPr>
      <w:r>
        <w:rPr>
          <w:rFonts w:hint="eastAsia" w:ascii="仿宋" w:hAnsi="仿宋" w:eastAsia="仿宋" w:cs="仿宋"/>
          <w:color w:val="auto"/>
          <w:sz w:val="21"/>
          <w:szCs w:val="21"/>
          <w:shd w:val="clear" w:color="auto" w:fill="auto"/>
        </w:rPr>
        <w:t>注：</w:t>
      </w:r>
      <w:r>
        <w:rPr>
          <w:rFonts w:hint="eastAsia" w:ascii="仿宋_GB2312" w:hAnsi="仿宋_GB2312" w:eastAsia="仿宋_GB2312" w:cs="仿宋_GB2312"/>
          <w:color w:val="auto"/>
          <w:shd w:val="clear" w:color="auto" w:fill="auto"/>
        </w:rPr>
        <w:t>1</w:t>
      </w:r>
      <w:r>
        <w:rPr>
          <w:rFonts w:hint="eastAsia" w:ascii="仿宋_GB2312" w:hAnsi="仿宋_GB2312" w:eastAsia="仿宋_GB2312" w:cs="仿宋_GB2312"/>
          <w:color w:val="auto"/>
          <w:shd w:val="clear" w:color="auto" w:fill="auto"/>
          <w:lang w:val="en-US" w:eastAsia="zh-CN"/>
        </w:rPr>
        <w:t>.</w:t>
      </w:r>
      <w:r>
        <w:rPr>
          <w:rFonts w:hint="eastAsia" w:ascii="仿宋" w:hAnsi="仿宋" w:eastAsia="仿宋" w:cs="仿宋"/>
          <w:color w:val="auto"/>
          <w:sz w:val="21"/>
          <w:szCs w:val="21"/>
          <w:shd w:val="clear" w:color="auto" w:fill="auto"/>
        </w:rPr>
        <w:t>根据受灾后的影响、造成的经济损失、抢险难易程度以及资金筹措条件等因素合理确定。</w:t>
      </w:r>
    </w:p>
    <w:p>
      <w:pPr>
        <w:pStyle w:val="11"/>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80" w:firstLineChars="200"/>
        <w:textAlignment w:val="auto"/>
        <w:rPr>
          <w:rFonts w:hint="eastAsia" w:ascii="仿宋" w:hAnsi="仿宋" w:eastAsia="仿宋" w:cs="仿宋"/>
          <w:color w:val="auto"/>
          <w:sz w:val="21"/>
          <w:szCs w:val="21"/>
          <w:shd w:val="clear" w:color="auto" w:fill="auto"/>
        </w:rPr>
      </w:pPr>
      <w:r>
        <w:rPr>
          <w:rFonts w:hint="eastAsia" w:ascii="仿宋_GB2312" w:hAnsi="仿宋_GB2312" w:eastAsia="仿宋_GB2312" w:cs="仿宋_GB2312"/>
          <w:color w:val="auto"/>
          <w:shd w:val="clear" w:color="auto" w:fill="auto"/>
        </w:rPr>
        <w:t>2</w:t>
      </w:r>
      <w:r>
        <w:rPr>
          <w:rFonts w:hint="eastAsia" w:ascii="仿宋_GB2312" w:hAnsi="仿宋_GB2312" w:eastAsia="仿宋_GB2312" w:cs="仿宋_GB2312"/>
          <w:color w:val="auto"/>
          <w:shd w:val="clear" w:color="auto" w:fill="auto"/>
          <w:lang w:val="en-US" w:eastAsia="zh-CN"/>
        </w:rPr>
        <w:t>.</w:t>
      </w:r>
      <w:r>
        <w:rPr>
          <w:rFonts w:hint="eastAsia" w:ascii="仿宋" w:hAnsi="仿宋" w:eastAsia="仿宋" w:cs="仿宋"/>
          <w:color w:val="auto"/>
          <w:sz w:val="21"/>
          <w:szCs w:val="21"/>
          <w:shd w:val="clear" w:color="auto" w:fill="auto"/>
        </w:rPr>
        <w:t>洪水、山洪的设计标准指洪水、山洪的重现期。</w:t>
      </w:r>
    </w:p>
    <w:p>
      <w:pPr>
        <w:pStyle w:val="11"/>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80" w:firstLineChars="200"/>
        <w:textAlignment w:val="auto"/>
        <w:rPr>
          <w:rFonts w:hint="eastAsia" w:ascii="仿宋" w:hAnsi="仿宋" w:eastAsia="仿宋" w:cs="仿宋"/>
          <w:color w:val="auto"/>
          <w:sz w:val="21"/>
          <w:szCs w:val="21"/>
          <w:shd w:val="clear" w:color="auto" w:fill="auto"/>
        </w:rPr>
      </w:pPr>
      <w:r>
        <w:rPr>
          <w:rFonts w:hint="eastAsia" w:ascii="仿宋_GB2312" w:hAnsi="仿宋_GB2312" w:eastAsia="仿宋_GB2312" w:cs="仿宋_GB2312"/>
          <w:color w:val="auto"/>
          <w:shd w:val="clear" w:color="auto" w:fill="auto"/>
        </w:rPr>
        <w:t>3</w:t>
      </w:r>
      <w:r>
        <w:rPr>
          <w:rFonts w:hint="eastAsia" w:ascii="仿宋_GB2312" w:hAnsi="仿宋_GB2312" w:eastAsia="仿宋_GB2312" w:cs="仿宋_GB2312"/>
          <w:color w:val="auto"/>
          <w:shd w:val="clear" w:color="auto" w:fill="auto"/>
          <w:lang w:val="en-US" w:eastAsia="zh-CN"/>
        </w:rPr>
        <w:t>.</w:t>
      </w:r>
      <w:r>
        <w:rPr>
          <w:rFonts w:hint="eastAsia" w:ascii="仿宋" w:hAnsi="仿宋" w:eastAsia="仿宋" w:cs="仿宋"/>
          <w:color w:val="auto"/>
          <w:sz w:val="21"/>
          <w:szCs w:val="21"/>
          <w:shd w:val="clear" w:color="auto" w:fill="auto"/>
        </w:rPr>
        <w:t>涝水的设计标准指相应暴雨的重现期。</w:t>
      </w:r>
    </w:p>
    <w:p>
      <w:pPr>
        <w:pStyle w:val="11"/>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仿宋" w:hAnsi="仿宋" w:eastAsia="仿宋" w:cs="仿宋"/>
          <w:color w:val="auto"/>
          <w:sz w:val="21"/>
          <w:szCs w:val="21"/>
          <w:shd w:val="clear" w:color="auto" w:fill="auto"/>
        </w:rPr>
      </w:pP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其他设施防洪标准</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220千伏枢纽变电站及220千伏以上电压等级的变电站，应满足100年一遇的洪水水位或历史最高内涝水位，其他电压等级的变电站应满足50年一遇的洪水水位或历史最高内涝水位。</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其他设施的防洪标准应符合《防洪标准》（GB 50201-2014）和《城市防洪工程设计规范》（GB/T50805-2012）等国家及省相关规定确定相应的防洪标准。</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截洪沟</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截洪沟的设计标准应与保护地区的山洪防治治理标准一致，设计洪峰流量可采用小流域洪水的计算方法推求。截流沟宜沿保护地区上部边缘等高线布置，并应选择较短路线或利用天然河道就近导入承泄区。</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防涝设施</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en-US"/>
        </w:rPr>
      </w:pPr>
      <w:r>
        <w:rPr>
          <w:rFonts w:hint="eastAsia" w:ascii="仿宋" w:hAnsi="仿宋" w:eastAsia="仿宋" w:cs="仿宋"/>
          <w:color w:val="auto"/>
          <w:sz w:val="30"/>
          <w:szCs w:val="30"/>
          <w:shd w:val="clear" w:color="auto" w:fill="auto"/>
          <w:lang w:val="en-US"/>
        </w:rPr>
        <w:t>城市防涝应与城市防洪规划相协调，</w:t>
      </w:r>
      <w:r>
        <w:rPr>
          <w:rFonts w:hint="eastAsia" w:ascii="仿宋" w:hAnsi="仿宋" w:eastAsia="仿宋" w:cs="仿宋"/>
          <w:color w:val="auto"/>
          <w:sz w:val="30"/>
          <w:szCs w:val="30"/>
          <w:shd w:val="clear" w:color="auto" w:fill="auto"/>
          <w:lang w:val="en-US"/>
        </w:rPr>
        <w:t>应统</w:t>
      </w:r>
      <w:r>
        <w:rPr>
          <w:rFonts w:hint="eastAsia" w:ascii="仿宋" w:hAnsi="仿宋" w:eastAsia="仿宋" w:cs="仿宋"/>
          <w:color w:val="auto"/>
          <w:sz w:val="30"/>
          <w:szCs w:val="30"/>
          <w:shd w:val="clear" w:color="auto" w:fill="auto"/>
          <w:lang w:val="en-US" w:eastAsia="zh-CN"/>
        </w:rPr>
        <w:t>一</w:t>
      </w:r>
      <w:r>
        <w:rPr>
          <w:rFonts w:hint="eastAsia" w:ascii="仿宋" w:hAnsi="仿宋" w:eastAsia="仿宋" w:cs="仿宋"/>
          <w:color w:val="auto"/>
          <w:sz w:val="30"/>
          <w:szCs w:val="30"/>
          <w:shd w:val="clear" w:color="auto" w:fill="auto"/>
          <w:lang w:val="en-US"/>
        </w:rPr>
        <w:t>规划</w:t>
      </w:r>
      <w:r>
        <w:rPr>
          <w:rFonts w:hint="eastAsia" w:ascii="仿宋" w:hAnsi="仿宋" w:eastAsia="仿宋" w:cs="仿宋"/>
          <w:color w:val="auto"/>
          <w:sz w:val="30"/>
          <w:szCs w:val="30"/>
          <w:shd w:val="clear" w:color="auto" w:fill="auto"/>
          <w:lang w:val="en-US"/>
        </w:rPr>
        <w:t>、综合治理、排蓄结合，优先从源头处理，合理划分排涝区，保护地表行洪通道。城镇内涝防治应采取工程性和非工程性相结合的综合控制措施。城镇内涝的各项设计应遵循《城镇内涝防治技术规范》（GB 51222-2017）的相关要求。</w:t>
      </w:r>
    </w:p>
    <w:p>
      <w:pPr>
        <w:pStyle w:val="3"/>
        <w:keepNext/>
        <w:keepLines/>
        <w:pageBreakBefore w:val="0"/>
        <w:widowControl w:val="0"/>
        <w:kinsoku/>
        <w:wordWrap/>
        <w:overflowPunct/>
        <w:topLinePunct w:val="0"/>
        <w:autoSpaceDE/>
        <w:autoSpaceDN/>
        <w:bidi w:val="0"/>
        <w:adjustRightInd/>
        <w:snapToGrid/>
        <w:spacing w:before="157" w:beforeLines="50" w:after="0" w:afterLines="0" w:line="360" w:lineRule="auto"/>
        <w:ind w:firstLine="640" w:firstLineChars="200"/>
        <w:jc w:val="center"/>
        <w:textAlignment w:val="auto"/>
        <w:rPr>
          <w:rFonts w:hint="eastAsia"/>
          <w:b w:val="0"/>
          <w:bCs/>
          <w:color w:val="auto"/>
          <w:shd w:val="clear" w:color="auto" w:fill="auto"/>
        </w:rPr>
      </w:pPr>
      <w:bookmarkStart w:id="38" w:name="_Toc6730"/>
      <w:bookmarkStart w:id="39" w:name="_Toc5056"/>
      <w:r>
        <w:rPr>
          <w:rFonts w:hint="eastAsia"/>
          <w:b w:val="0"/>
          <w:bCs/>
          <w:color w:val="auto"/>
          <w:shd w:val="clear" w:color="auto" w:fill="auto"/>
        </w:rPr>
        <w:t>第</w:t>
      </w:r>
      <w:r>
        <w:rPr>
          <w:rFonts w:hint="eastAsia"/>
          <w:b w:val="0"/>
          <w:bCs/>
          <w:color w:val="auto"/>
          <w:shd w:val="clear" w:color="auto" w:fill="auto"/>
          <w:lang w:eastAsia="zh-CN"/>
        </w:rPr>
        <w:t>四</w:t>
      </w:r>
      <w:r>
        <w:rPr>
          <w:rFonts w:hint="eastAsia"/>
          <w:b w:val="0"/>
          <w:bCs/>
          <w:color w:val="auto"/>
          <w:shd w:val="clear" w:color="auto" w:fill="auto"/>
        </w:rPr>
        <w:t>节  重大危险设施灾害防治与人防</w:t>
      </w:r>
      <w:bookmarkEnd w:id="38"/>
      <w:bookmarkEnd w:id="39"/>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582" w:firstLineChars="200"/>
        <w:textAlignment w:val="auto"/>
        <w:rPr>
          <w:rFonts w:hint="eastAsia" w:ascii="仿宋" w:hAnsi="仿宋" w:eastAsia="仿宋" w:cs="仿宋"/>
          <w:color w:val="auto"/>
          <w:sz w:val="30"/>
          <w:szCs w:val="30"/>
          <w:shd w:val="clear" w:color="auto" w:fill="auto"/>
        </w:rPr>
      </w:pPr>
      <w:r>
        <w:rPr>
          <w:rFonts w:hint="eastAsia" w:ascii="仿宋" w:hAnsi="仿宋" w:eastAsia="仿宋" w:cs="仿宋"/>
          <w:color w:val="auto"/>
          <w:spacing w:val="3"/>
          <w:w w:val="95"/>
          <w:kern w:val="2"/>
          <w:sz w:val="30"/>
          <w:szCs w:val="30"/>
          <w:shd w:val="clear" w:color="auto" w:fill="auto"/>
          <w:lang w:val="zh-CN" w:eastAsia="zh-CN" w:bidi="zh-CN"/>
        </w:rPr>
        <w:t>重大危险设施应设置在相对独立的安全区域，用地选址在地形地貌、工程地质条件等方面必须满足建设要求，与周边工程设施的安全和卫生防护距离必须符合国家规范，同时满足以下规定：</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zh-CN" w:eastAsia="zh-CN"/>
        </w:rPr>
      </w:pPr>
      <w:r>
        <w:rPr>
          <w:rFonts w:hint="eastAsia" w:ascii="仿宋" w:hAnsi="仿宋" w:eastAsia="仿宋" w:cs="仿宋"/>
          <w:color w:val="auto"/>
          <w:sz w:val="30"/>
          <w:szCs w:val="30"/>
          <w:shd w:val="clear" w:color="auto" w:fill="auto"/>
          <w:lang w:val="en-US" w:eastAsia="zh-CN"/>
        </w:rPr>
        <w:t>1、</w:t>
      </w:r>
      <w:r>
        <w:rPr>
          <w:rFonts w:hint="eastAsia" w:ascii="仿宋" w:hAnsi="仿宋" w:eastAsia="仿宋" w:cs="仿宋"/>
          <w:color w:val="auto"/>
          <w:sz w:val="30"/>
          <w:szCs w:val="30"/>
          <w:shd w:val="clear" w:color="auto" w:fill="auto"/>
          <w:lang w:val="zh-CN" w:eastAsia="zh-CN"/>
        </w:rPr>
        <w:t>大型油气仓库区及其他危险品仓储区应相对集中布局，远离城市。</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zh-CN" w:eastAsia="zh-CN"/>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lang w:val="zh-CN" w:eastAsia="zh-CN"/>
        </w:rPr>
        <w:t>石油库选址应远离机场、重要交通枢纽、重要桥梁、大型水库及水利工程、变电站、军事目标和其他重要设施。</w:t>
      </w:r>
    </w:p>
    <w:p>
      <w:pPr>
        <w:pStyle w:val="6"/>
        <w:pageBreakBefore w:val="0"/>
        <w:kinsoku/>
        <w:wordWrap/>
        <w:overflowPunct/>
        <w:topLinePunct w:val="0"/>
        <w:autoSpaceDE/>
        <w:bidi w:val="0"/>
        <w:spacing w:before="0" w:line="360" w:lineRule="auto"/>
        <w:ind w:left="0" w:firstLine="600" w:firstLineChars="200"/>
        <w:rPr>
          <w:rFonts w:hint="eastAsia" w:ascii="仿宋" w:hAnsi="仿宋" w:eastAsia="仿宋" w:cs="仿宋"/>
          <w:color w:val="auto"/>
          <w:sz w:val="30"/>
          <w:szCs w:val="30"/>
          <w:shd w:val="clear" w:color="auto" w:fill="auto"/>
          <w:lang w:val="zh-CN" w:eastAsia="zh-CN"/>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val="zh-CN" w:eastAsia="zh-CN"/>
        </w:rPr>
        <w:t>危险化学品仓库应为单层且独立设置，不应设有地下室。</w:t>
      </w:r>
    </w:p>
    <w:p>
      <w:pPr>
        <w:pStyle w:val="11"/>
        <w:pageBreakBefore w:val="0"/>
        <w:widowControl/>
        <w:numPr>
          <w:ilvl w:val="1"/>
          <w:numId w:val="4"/>
        </w:numPr>
        <w:shd w:val="clear" w:color="auto" w:fill="FFFFFF"/>
        <w:kinsoku/>
        <w:wordWrap/>
        <w:overflowPunct/>
        <w:topLinePunct w:val="0"/>
        <w:autoSpaceDE/>
        <w:bidi w:val="0"/>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城市人防建设</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城市各类人民防空工程应与易燃、易爆及有剧毒物质的厂房和储库保持一定安全距离。指挥工程、中心医院和急救医院应避开重点目标区域设置，急救站及其他专业队应结合其分担的保障区域来设置。</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新建、改建、扩建人防工程应当符合现行人防工程建设相关技术规范、标准的要求，并严格执行。新建民用建筑应按国家规定修建战时可用于防空的地下室，城市的地下交通干线以及其他地下工程的规划和建设，应兼顾人民防空要求。</w:t>
      </w:r>
    </w:p>
    <w:p>
      <w:pPr>
        <w:pStyle w:val="6"/>
        <w:pageBreakBefore w:val="0"/>
        <w:kinsoku/>
        <w:wordWrap/>
        <w:overflowPunct/>
        <w:topLinePunct w:val="0"/>
        <w:autoSpaceDE/>
        <w:bidi w:val="0"/>
        <w:spacing w:before="6" w:line="360" w:lineRule="auto"/>
        <w:ind w:right="339" w:firstLine="600" w:firstLineChars="200"/>
        <w:jc w:val="both"/>
        <w:rPr>
          <w:rFonts w:hint="eastAsia" w:ascii="仿宋_GB2312" w:hAnsi="仿宋_GB2312" w:eastAsia="仿宋_GB2312" w:cs="仿宋_GB2312"/>
          <w:color w:val="auto"/>
          <w:sz w:val="30"/>
          <w:szCs w:val="30"/>
          <w:shd w:val="clear" w:color="auto" w:fill="auto"/>
          <w:lang w:val="en-US" w:eastAsia="zh-CN"/>
        </w:rPr>
      </w:pPr>
    </w:p>
    <w:p>
      <w:pPr>
        <w:pStyle w:val="2"/>
        <w:pageBreakBefore w:val="0"/>
        <w:numPr>
          <w:ilvl w:val="0"/>
          <w:numId w:val="3"/>
        </w:numPr>
        <w:kinsoku/>
        <w:wordWrap/>
        <w:overflowPunct/>
        <w:topLinePunct w:val="0"/>
        <w:autoSpaceDE/>
        <w:bidi w:val="0"/>
        <w:spacing w:line="360" w:lineRule="auto"/>
        <w:ind w:firstLine="723" w:firstLineChars="200"/>
        <w:jc w:val="center"/>
        <w:rPr>
          <w:rFonts w:hint="eastAsia"/>
          <w:color w:val="auto"/>
          <w:sz w:val="36"/>
          <w:szCs w:val="36"/>
          <w:shd w:val="clear" w:color="auto" w:fill="auto"/>
          <w:lang w:val="en-US" w:eastAsia="zh-CN"/>
        </w:rPr>
      </w:pPr>
      <w:bookmarkStart w:id="40" w:name="_Toc10323"/>
      <w:r>
        <w:rPr>
          <w:rFonts w:hint="eastAsia"/>
          <w:color w:val="auto"/>
          <w:sz w:val="36"/>
          <w:szCs w:val="36"/>
          <w:shd w:val="clear" w:color="auto" w:fill="auto"/>
          <w:lang w:val="en-US" w:eastAsia="zh-CN"/>
        </w:rPr>
        <w:t xml:space="preserve">  </w:t>
      </w:r>
      <w:bookmarkStart w:id="41" w:name="_Toc23640"/>
      <w:r>
        <w:rPr>
          <w:rFonts w:hint="eastAsia"/>
          <w:color w:val="auto"/>
          <w:sz w:val="36"/>
          <w:szCs w:val="36"/>
          <w:shd w:val="clear" w:color="auto" w:fill="auto"/>
          <w:lang w:val="en-US" w:eastAsia="zh-CN"/>
        </w:rPr>
        <w:t>城市空域保护与地下空间开发利用</w:t>
      </w:r>
      <w:bookmarkEnd w:id="40"/>
      <w:bookmarkEnd w:id="41"/>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空域保护范围 </w:t>
      </w:r>
    </w:p>
    <w:p>
      <w:pPr>
        <w:keepNext w:val="0"/>
        <w:keepLines w:val="0"/>
        <w:pageBreakBefore w:val="0"/>
        <w:widowControl/>
        <w:suppressLineNumbers w:val="0"/>
        <w:kinsoku/>
        <w:wordWrap/>
        <w:overflowPunct/>
        <w:topLinePunct w:val="0"/>
        <w:autoSpaceDE/>
        <w:bidi w:val="0"/>
        <w:spacing w:line="360" w:lineRule="auto"/>
        <w:ind w:firstLine="582" w:firstLineChars="200"/>
        <w:jc w:val="left"/>
        <w:rPr>
          <w:rFonts w:hint="eastAsia" w:ascii="仿宋" w:hAnsi="仿宋" w:eastAsia="仿宋" w:cs="仿宋"/>
          <w:color w:val="auto"/>
          <w:spacing w:val="3"/>
          <w:w w:val="95"/>
          <w:kern w:val="2"/>
          <w:sz w:val="30"/>
          <w:szCs w:val="30"/>
          <w:shd w:val="clear" w:color="auto" w:fill="auto"/>
          <w:lang w:val="zh-CN" w:eastAsia="zh-CN" w:bidi="zh-CN"/>
        </w:rPr>
      </w:pPr>
      <w:r>
        <w:rPr>
          <w:rFonts w:hint="eastAsia" w:ascii="仿宋" w:hAnsi="仿宋" w:eastAsia="仿宋" w:cs="仿宋"/>
          <w:color w:val="auto"/>
          <w:spacing w:val="3"/>
          <w:w w:val="95"/>
          <w:kern w:val="2"/>
          <w:sz w:val="30"/>
          <w:szCs w:val="30"/>
          <w:shd w:val="clear" w:color="auto" w:fill="auto"/>
          <w:lang w:val="en-US" w:eastAsia="zh-CN" w:bidi="zh-CN"/>
        </w:rPr>
        <w:t xml:space="preserve">为保护城市微波通道和飞行航线等，应对相应空域划定保护范围，采取保护措施，控制建（构）筑物高度。 </w:t>
      </w:r>
    </w:p>
    <w:p>
      <w:pPr>
        <w:keepNext w:val="0"/>
        <w:keepLines w:val="0"/>
        <w:pageBreakBefore w:val="0"/>
        <w:widowControl/>
        <w:suppressLineNumbers w:val="0"/>
        <w:kinsoku/>
        <w:wordWrap/>
        <w:overflowPunct/>
        <w:topLinePunct w:val="0"/>
        <w:autoSpaceDE/>
        <w:bidi w:val="0"/>
        <w:spacing w:line="360" w:lineRule="auto"/>
        <w:ind w:firstLine="582" w:firstLineChars="200"/>
        <w:jc w:val="left"/>
        <w:rPr>
          <w:rFonts w:hint="eastAsia" w:ascii="仿宋" w:hAnsi="仿宋" w:eastAsia="仿宋" w:cs="仿宋"/>
          <w:color w:val="auto"/>
          <w:spacing w:val="3"/>
          <w:w w:val="95"/>
          <w:kern w:val="2"/>
          <w:sz w:val="30"/>
          <w:szCs w:val="30"/>
          <w:shd w:val="clear" w:color="auto" w:fill="auto"/>
          <w:lang w:val="en-US" w:eastAsia="zh-CN" w:bidi="zh-CN"/>
        </w:rPr>
      </w:pPr>
      <w:r>
        <w:rPr>
          <w:rFonts w:hint="eastAsia" w:ascii="仿宋" w:hAnsi="仿宋" w:eastAsia="仿宋" w:cs="仿宋"/>
          <w:color w:val="auto"/>
          <w:spacing w:val="3"/>
          <w:w w:val="95"/>
          <w:kern w:val="2"/>
          <w:sz w:val="30"/>
          <w:szCs w:val="30"/>
          <w:shd w:val="clear" w:color="auto" w:fill="auto"/>
          <w:lang w:val="en-US" w:eastAsia="zh-CN" w:bidi="zh-CN"/>
        </w:rPr>
        <w:t xml:space="preserve">在有净空高度限制的机场、气象台、电台和其它无线电通讯(含微波通讯)设施周围新建、改建、扩建的建(构)筑物，其控制高度应符合有关净空高度限制的规定。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规划编制要求 </w:t>
      </w:r>
    </w:p>
    <w:p>
      <w:pPr>
        <w:keepNext w:val="0"/>
        <w:keepLines w:val="0"/>
        <w:pageBreakBefore w:val="0"/>
        <w:widowControl/>
        <w:suppressLineNumbers w:val="0"/>
        <w:kinsoku/>
        <w:wordWrap/>
        <w:overflowPunct/>
        <w:topLinePunct w:val="0"/>
        <w:autoSpaceDE/>
        <w:bidi w:val="0"/>
        <w:spacing w:line="360" w:lineRule="auto"/>
        <w:ind w:firstLine="582" w:firstLineChars="200"/>
        <w:jc w:val="left"/>
        <w:rPr>
          <w:rFonts w:hint="eastAsia" w:ascii="仿宋" w:hAnsi="仿宋" w:eastAsia="仿宋" w:cs="仿宋"/>
          <w:color w:val="auto"/>
          <w:spacing w:val="3"/>
          <w:w w:val="95"/>
          <w:kern w:val="2"/>
          <w:sz w:val="28"/>
          <w:szCs w:val="28"/>
          <w:shd w:val="clear" w:color="auto" w:fill="auto"/>
          <w:lang w:val="zh-CN" w:eastAsia="zh-CN" w:bidi="zh-CN"/>
        </w:rPr>
      </w:pPr>
      <w:r>
        <w:rPr>
          <w:rFonts w:hint="eastAsia" w:ascii="仿宋" w:hAnsi="仿宋" w:eastAsia="仿宋" w:cs="仿宋"/>
          <w:color w:val="auto"/>
          <w:spacing w:val="3"/>
          <w:w w:val="95"/>
          <w:kern w:val="2"/>
          <w:sz w:val="30"/>
          <w:szCs w:val="30"/>
          <w:shd w:val="clear" w:color="auto" w:fill="auto"/>
          <w:lang w:val="en-US" w:eastAsia="zh-CN" w:bidi="zh-CN"/>
        </w:rPr>
        <w:t xml:space="preserve">编制涉及有净空保护要求区域的详细规划，应提出建筑高度、空中通道及其他空域保护和控制要求。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项目建设要求 </w:t>
      </w:r>
    </w:p>
    <w:p>
      <w:pPr>
        <w:keepNext w:val="0"/>
        <w:keepLines w:val="0"/>
        <w:pageBreakBefore w:val="0"/>
        <w:widowControl/>
        <w:suppressLineNumbers w:val="0"/>
        <w:kinsoku/>
        <w:wordWrap/>
        <w:overflowPunct/>
        <w:topLinePunct w:val="0"/>
        <w:autoSpaceDE/>
        <w:bidi w:val="0"/>
        <w:spacing w:line="360" w:lineRule="auto"/>
        <w:ind w:firstLine="582" w:firstLineChars="200"/>
        <w:jc w:val="left"/>
        <w:rPr>
          <w:rFonts w:hint="eastAsia" w:ascii="仿宋" w:hAnsi="仿宋" w:eastAsia="仿宋" w:cs="仿宋"/>
          <w:color w:val="auto"/>
          <w:spacing w:val="3"/>
          <w:w w:val="95"/>
          <w:kern w:val="2"/>
          <w:sz w:val="30"/>
          <w:szCs w:val="30"/>
          <w:shd w:val="clear" w:color="auto" w:fill="auto"/>
          <w:lang w:val="zh-CN" w:eastAsia="zh-CN" w:bidi="zh-CN"/>
        </w:rPr>
      </w:pPr>
      <w:r>
        <w:rPr>
          <w:rFonts w:hint="eastAsia" w:ascii="仿宋" w:hAnsi="仿宋" w:eastAsia="仿宋" w:cs="仿宋"/>
          <w:color w:val="auto"/>
          <w:spacing w:val="3"/>
          <w:w w:val="95"/>
          <w:kern w:val="2"/>
          <w:sz w:val="30"/>
          <w:szCs w:val="30"/>
          <w:shd w:val="clear" w:color="auto" w:fill="auto"/>
          <w:lang w:val="en-US" w:eastAsia="zh-CN" w:bidi="zh-CN"/>
        </w:rPr>
        <w:t xml:space="preserve">申请需防止电磁波干扰或设置产生电磁辐射设备的建设项目选址，建设单位应当提供有关技术资料（防干扰或产生辐射的范围等）。 </w:t>
      </w:r>
    </w:p>
    <w:p>
      <w:pPr>
        <w:keepNext w:val="0"/>
        <w:keepLines w:val="0"/>
        <w:pageBreakBefore w:val="0"/>
        <w:widowControl/>
        <w:suppressLineNumbers w:val="0"/>
        <w:kinsoku/>
        <w:wordWrap/>
        <w:overflowPunct/>
        <w:topLinePunct w:val="0"/>
        <w:autoSpaceDE/>
        <w:bidi w:val="0"/>
        <w:spacing w:line="360" w:lineRule="auto"/>
        <w:ind w:firstLine="582" w:firstLineChars="200"/>
        <w:jc w:val="left"/>
        <w:rPr>
          <w:rFonts w:hint="eastAsia" w:ascii="仿宋" w:hAnsi="仿宋" w:eastAsia="仿宋" w:cs="仿宋"/>
          <w:color w:val="auto"/>
          <w:spacing w:val="3"/>
          <w:w w:val="95"/>
          <w:kern w:val="2"/>
          <w:sz w:val="28"/>
          <w:szCs w:val="28"/>
          <w:shd w:val="clear" w:color="auto" w:fill="auto"/>
          <w:lang w:val="en-US" w:eastAsia="zh-CN" w:bidi="zh-CN"/>
        </w:rPr>
      </w:pPr>
      <w:r>
        <w:rPr>
          <w:rFonts w:hint="eastAsia" w:ascii="仿宋" w:hAnsi="仿宋" w:eastAsia="仿宋" w:cs="仿宋"/>
          <w:color w:val="auto"/>
          <w:spacing w:val="3"/>
          <w:w w:val="95"/>
          <w:kern w:val="2"/>
          <w:sz w:val="30"/>
          <w:szCs w:val="30"/>
          <w:shd w:val="clear" w:color="auto" w:fill="auto"/>
          <w:lang w:val="en-US" w:eastAsia="zh-CN" w:bidi="zh-CN"/>
        </w:rPr>
        <w:t>申请无线电通讯工程项目选址，应提供必要的技术资料，绘制微波通道走向及范围图，提出具体的空域保护要求及保护期限等。</w:t>
      </w:r>
      <w:r>
        <w:rPr>
          <w:rFonts w:hint="eastAsia" w:ascii="仿宋" w:hAnsi="仿宋" w:eastAsia="仿宋" w:cs="仿宋"/>
          <w:color w:val="auto"/>
          <w:spacing w:val="3"/>
          <w:w w:val="95"/>
          <w:kern w:val="2"/>
          <w:sz w:val="28"/>
          <w:szCs w:val="28"/>
          <w:shd w:val="clear" w:color="auto" w:fill="auto"/>
          <w:lang w:val="en-US" w:eastAsia="zh-CN" w:bidi="zh-CN"/>
        </w:rPr>
        <w:t xml:space="preserve">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微波站址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微波站址与机场、大型桥梁及重要军事设施的距离不少于5公里，距离铁路不少于1公里。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净空区控制 </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在机场电磁环境保护区域内实施的建设项目，应当满足机场电磁环境保护要求，自然资源主管部门对可能影响机场电磁环境的项目审批，应征求当地无线电管理机构和当地航空主管部门的意见。</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地下功能引导控制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1、地下空间开发应当结合主体项目配套功能需求、城市环境容量等因素，确定功能配置及规模。</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2、地下空间开发利用应当考虑到地块地质条件、结构安全、施工难度等因素的限制，不得破坏周围建筑和市政设施。</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3、地下空间使用功能应当按照详细规划确定的 用地性质进行明确，市政道路地下10米范围内应当优先保证市政工程通道。</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地下功能按照表 8.1 的引导控制进行设置。</w:t>
      </w:r>
    </w:p>
    <w:p>
      <w:pPr>
        <w:pageBreakBefore w:val="0"/>
        <w:kinsoku/>
        <w:wordWrap/>
        <w:overflowPunct/>
        <w:topLinePunct w:val="0"/>
        <w:autoSpaceDE/>
        <w:bidi w:val="0"/>
        <w:spacing w:line="360" w:lineRule="auto"/>
        <w:ind w:firstLine="562" w:firstLineChars="200"/>
        <w:jc w:val="center"/>
        <w:rPr>
          <w:rFonts w:hint="eastAsia" w:ascii="仿宋" w:hAnsi="仿宋" w:eastAsia="仿宋" w:cs="仿宋"/>
          <w:b/>
          <w:color w:val="auto"/>
          <w:sz w:val="28"/>
          <w:szCs w:val="28"/>
          <w:shd w:val="clear" w:color="auto" w:fill="auto"/>
          <w:lang w:val="en-US" w:eastAsia="zh-CN"/>
        </w:rPr>
      </w:pPr>
      <w:r>
        <w:rPr>
          <w:rFonts w:hint="eastAsia" w:ascii="仿宋" w:hAnsi="仿宋" w:eastAsia="仿宋" w:cs="仿宋"/>
          <w:b/>
          <w:color w:val="auto"/>
          <w:sz w:val="28"/>
          <w:szCs w:val="28"/>
          <w:shd w:val="clear" w:color="auto" w:fill="auto"/>
          <w:lang w:val="en-US" w:eastAsia="zh-CN"/>
        </w:rPr>
        <w:t>表 8.1 地下功能与地上功能对应引导控制表</w:t>
      </w:r>
    </w:p>
    <w:tbl>
      <w:tblPr>
        <w:tblStyle w:val="12"/>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70"/>
        <w:gridCol w:w="818"/>
        <w:gridCol w:w="1090"/>
        <w:gridCol w:w="1023"/>
        <w:gridCol w:w="875"/>
        <w:gridCol w:w="875"/>
        <w:gridCol w:w="1043"/>
        <w:gridCol w:w="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color w:val="auto"/>
                <w:sz w:val="28"/>
                <w:szCs w:val="28"/>
                <w:shd w:val="clear" w:color="auto" w:fill="auto"/>
                <w:lang w:val="en-US" w:eastAsia="zh-CN"/>
              </w:rPr>
              <mc:AlternateContent>
                <mc:Choice Requires="wps">
                  <w:drawing>
                    <wp:anchor distT="0" distB="0" distL="114300" distR="114300" simplePos="0" relativeHeight="251659264" behindDoc="1" locked="0" layoutInCell="1" allowOverlap="1">
                      <wp:simplePos x="0" y="0"/>
                      <wp:positionH relativeFrom="page">
                        <wp:posOffset>22225</wp:posOffset>
                      </wp:positionH>
                      <wp:positionV relativeFrom="paragraph">
                        <wp:posOffset>-17145</wp:posOffset>
                      </wp:positionV>
                      <wp:extent cx="1139190" cy="434975"/>
                      <wp:effectExtent l="1905" t="4445" r="1905" b="17780"/>
                      <wp:wrapNone/>
                      <wp:docPr id="6" name="直接连接符 6"/>
                      <wp:cNvGraphicFramePr/>
                      <a:graphic xmlns:a="http://schemas.openxmlformats.org/drawingml/2006/main">
                        <a:graphicData uri="http://schemas.microsoft.com/office/word/2010/wordprocessingShape">
                          <wps:wsp>
                            <wps:cNvCnPr/>
                            <wps:spPr>
                              <a:xfrm>
                                <a:off x="0" y="0"/>
                                <a:ext cx="1139190" cy="43497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5pt;margin-top:-1.35pt;height:34.25pt;width:89.7pt;mso-position-horizontal-relative:page;z-index:-251657216;mso-width-relative:page;mso-height-relative:page;" filled="f" stroked="t" coordsize="21600,21600" o:gfxdata="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A5sa1AAAAAcBAAAPAAAAAAAAAAEAIAAAACIAAABkcnMvZG93bnJldi54bWxQSwEC&#10;FAAUAAAACACHTuJAp8f0i/gBAADpAwAADgAAAAAAAAABACAAAAAjAQAAZHJzL2Uyb0RvYy54bWxQ&#10;SwUGAAAAAAYABgBZAQAAjQUAAAAA&#10;">
                      <v:fill on="f" focussize="0,0"/>
                      <v:stroke weight="0.5pt" color="#000000" joinstyle="round"/>
                      <v:imagedata o:title=""/>
                      <o:lock v:ext="edit" aspectratio="f"/>
                    </v:line>
                  </w:pict>
                </mc:Fallback>
              </mc:AlternateContent>
            </w:r>
            <w:r>
              <w:rPr>
                <w:rFonts w:hint="eastAsia" w:ascii="仿宋" w:hAnsi="仿宋" w:eastAsia="仿宋" w:cs="仿宋"/>
                <w:b/>
                <w:bCs/>
                <w:color w:val="auto"/>
                <w:sz w:val="24"/>
                <w:szCs w:val="24"/>
                <w:shd w:val="clear" w:color="auto" w:fill="auto"/>
              </w:rPr>
              <w:t>地下功能</w:t>
            </w: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地上功能</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地下商业</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地下公共设施</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地下人行通道</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地下道路</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地下停车</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地下市政设施</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bCs/>
                <w:color w:val="auto"/>
                <w:sz w:val="24"/>
                <w:szCs w:val="24"/>
                <w:shd w:val="clear" w:color="auto" w:fill="auto"/>
              </w:rPr>
            </w:pPr>
            <w:r>
              <w:rPr>
                <w:rFonts w:hint="eastAsia" w:ascii="仿宋" w:hAnsi="仿宋" w:eastAsia="仿宋" w:cs="仿宋"/>
                <w:b/>
                <w:bCs/>
                <w:color w:val="auto"/>
                <w:sz w:val="24"/>
                <w:szCs w:val="24"/>
                <w:shd w:val="clear" w:color="auto" w:fill="auto"/>
              </w:rPr>
              <w:t>地下管线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居住用地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道路与交通设施用地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广场用地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商业服务业设施用地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公共服务设施用地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市政公用设施用地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公共管理与公共服务设施用地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b/>
                <w:color w:val="auto"/>
                <w:sz w:val="24"/>
                <w:szCs w:val="24"/>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绿地</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64"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水域</w:t>
            </w:r>
          </w:p>
        </w:tc>
        <w:tc>
          <w:tcPr>
            <w:tcW w:w="492"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5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15"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526"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627"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c>
          <w:tcPr>
            <w:tcW w:w="491" w:type="pct"/>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注：●为允许建设；○为</w:t>
      </w:r>
      <w:r>
        <w:rPr>
          <w:rFonts w:hint="eastAsia" w:ascii="仿宋" w:hAnsi="仿宋" w:eastAsia="仿宋" w:cs="仿宋"/>
          <w:color w:val="auto"/>
          <w:sz w:val="21"/>
          <w:szCs w:val="21"/>
          <w:shd w:val="clear" w:color="auto" w:fill="auto"/>
          <w:lang w:eastAsia="zh-CN"/>
        </w:rPr>
        <w:t>自然资源主管</w:t>
      </w:r>
      <w:r>
        <w:rPr>
          <w:rFonts w:hint="eastAsia" w:ascii="仿宋" w:hAnsi="仿宋" w:eastAsia="仿宋" w:cs="仿宋"/>
          <w:color w:val="auto"/>
          <w:sz w:val="21"/>
          <w:szCs w:val="21"/>
          <w:shd w:val="clear" w:color="auto" w:fill="auto"/>
        </w:rPr>
        <w:t>部门根据具体情况确定是否允许建设；×为不允许建设。</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人行地下通道</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1、人行地下通道宜连接附近主要交通站点，纳入整体交通系统。人行地下通道宜采用简明便捷的形式，避免造成行人滞留。</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2、人行地下通道的长度不宜超过100米；如有特别需要而超过100米时，宜设置自动人行道。</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3、人行地下通道内每间隔50米应设置防灾疏散空间以及2个以上直通地面的出入口。</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地下停车场</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1、城市停车场规划应充分利用城市地下空间，集约用地。城市公共停车场宜结合城市公园绿地、广场、体育场馆及地下人防设施修建地下公共停车场。</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2、地下停车场的建设应考虑城市动态交通与静态交通的协调，以及个体交通工具与公共交通工具的换乘与衔接。地下公共停车场宜与临近地下空间设施整合建设，并与相邻地下停车场预留战时连接通道。</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地下停车场应方便出入并设置明显的导向标识，应满足安全、舒适、通风、防火等要求，地下停车场的出口与入口宜分开设置，单车道宽度不得小于4米，双车道宽度不得小于7米，小型停车场只有一个出入口时，应设置为双向行驶出入口。</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4、地下停车场出入口纵坡：曲线坡道坡度不大于12%， 直线坡道坡度不大于15%，并设置缓坡；直线缓坡段的坡度是坡道坡度的一半，且水平长度不小于3.6米，曲线缓坡段水平长度不小于2.4米，其半径不小于20米。</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地下街</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1、地下街可结合公交站点、轨道站点、铁路车站和公交枢纽等公共交通设施整合建设，符合城市商业功能布局的要求，并符合对大型商业设施的限制要求。</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2、地下街内商业设施的布置不得妨碍人行交通和视线的通达性，公共人行通道宽度不小于6米。</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3、与地下街相连接的建筑物地下室应设置符合规范要求的防火分区，并有直接通向地面的出入口和排烟设施。</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4、地下街规模的确定应综合考虑该区域长远发展规划以及地下街通行能力等因素，地下街建筑总面积不宜小5000平方米，并设置必要的给排水、通风、电力电信、消防等设施。</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5、地下街的通行能力宜按该地下街20年内预测的高峰小时交通量确定。</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地下空间出入口</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bookmarkStart w:id="42" w:name="_bookmark8"/>
      <w:bookmarkEnd w:id="42"/>
      <w:r>
        <w:rPr>
          <w:rFonts w:hint="eastAsia" w:ascii="仿宋_GB2312" w:hAnsi="仿宋_GB2312" w:eastAsia="仿宋_GB2312" w:cs="仿宋_GB2312"/>
          <w:color w:val="auto"/>
          <w:sz w:val="30"/>
          <w:szCs w:val="30"/>
          <w:shd w:val="clear" w:color="auto" w:fill="auto"/>
          <w:lang w:val="en-US" w:eastAsia="zh-CN"/>
        </w:rPr>
        <w:t>1、地下设施出入口的数量及位置必须满足安全和防灾的规范要求。</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2、地下空间出入口应布置于主要人流方向，并与人行过街天桥、地下人行通道、临近建筑物地下空间连通。道路两侧地下室空间出入口方向宜与道路方向一致，出入口前应设置集散场地。</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3、地下室空间出入口设计应简洁、轻巧、通透、可识别。地下空间出入口应采用多种形式强化无障碍设计。与建筑物相邻的出入口宜与建筑整体设计。</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kern w:val="0"/>
          <w:sz w:val="30"/>
          <w:szCs w:val="30"/>
          <w:shd w:val="clear" w:color="auto" w:fill="auto"/>
          <w:lang w:val="en-US" w:eastAsia="zh-CN" w:bidi="ar"/>
        </w:rPr>
      </w:pPr>
      <w:r>
        <w:rPr>
          <w:rFonts w:hint="eastAsia" w:ascii="仿宋_GB2312" w:hAnsi="仿宋_GB2312" w:eastAsia="仿宋_GB2312" w:cs="仿宋_GB2312"/>
          <w:color w:val="auto"/>
          <w:kern w:val="0"/>
          <w:sz w:val="30"/>
          <w:szCs w:val="30"/>
          <w:shd w:val="clear" w:color="auto" w:fill="auto"/>
          <w:lang w:val="en-US" w:eastAsia="zh-CN" w:bidi="ar"/>
        </w:rPr>
        <w:t xml:space="preserve"> 地下设施通风井</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1、非公共设施的建筑物地下室通风井等附属设施严禁设于道路红线内。</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2、公共设施的通风井宜在绿化带内设置；当必须设于人行道时，不得对人行道通行能力和行人安全造成不利影响。</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地下设施通风井的进风口和排风口宜分开建设，其水平距离不小于10米，垂直距离不小于6米；如有特别需要而将进风口与排风口合建时，排风口应比进风口高出6米；临近建筑物设置的通风井，其口部距建筑物的水平直线距离不小于10米。</w:t>
      </w:r>
    </w:p>
    <w:p>
      <w:pPr>
        <w:pStyle w:val="6"/>
        <w:pageBreakBefore w:val="0"/>
        <w:kinsoku/>
        <w:wordWrap/>
        <w:overflowPunct/>
        <w:topLinePunct w:val="0"/>
        <w:autoSpaceDE/>
        <w:bidi w:val="0"/>
        <w:spacing w:before="6" w:line="360" w:lineRule="auto"/>
        <w:ind w:right="339" w:firstLine="582" w:firstLineChars="200"/>
        <w:jc w:val="both"/>
        <w:rPr>
          <w:rFonts w:hint="eastAsia" w:ascii="仿宋" w:hAnsi="仿宋" w:eastAsia="仿宋" w:cs="仿宋"/>
          <w:color w:val="auto"/>
          <w:spacing w:val="3"/>
          <w:w w:val="95"/>
          <w:sz w:val="30"/>
          <w:szCs w:val="30"/>
          <w:shd w:val="clear" w:color="auto" w:fill="auto"/>
        </w:rPr>
      </w:pPr>
    </w:p>
    <w:p>
      <w:pPr>
        <w:pStyle w:val="2"/>
        <w:pageBreakBefore w:val="0"/>
        <w:numPr>
          <w:ilvl w:val="0"/>
          <w:numId w:val="3"/>
        </w:numPr>
        <w:kinsoku/>
        <w:wordWrap/>
        <w:overflowPunct/>
        <w:topLinePunct w:val="0"/>
        <w:autoSpaceDE/>
        <w:bidi w:val="0"/>
        <w:spacing w:line="360" w:lineRule="auto"/>
        <w:ind w:firstLine="723" w:firstLineChars="200"/>
        <w:jc w:val="center"/>
        <w:rPr>
          <w:rFonts w:hint="eastAsia"/>
          <w:color w:val="auto"/>
          <w:sz w:val="36"/>
          <w:szCs w:val="36"/>
          <w:shd w:val="clear" w:color="auto" w:fill="auto"/>
          <w:lang w:val="en-US" w:eastAsia="zh-CN"/>
        </w:rPr>
      </w:pPr>
      <w:bookmarkStart w:id="43" w:name="_Toc24967"/>
      <w:r>
        <w:rPr>
          <w:rFonts w:hint="eastAsia"/>
          <w:color w:val="auto"/>
          <w:sz w:val="36"/>
          <w:szCs w:val="36"/>
          <w:shd w:val="clear" w:color="auto" w:fill="auto"/>
          <w:lang w:val="en-US" w:eastAsia="zh-CN"/>
        </w:rPr>
        <w:t>生态保护与城市景观</w:t>
      </w:r>
      <w:bookmarkEnd w:id="43"/>
    </w:p>
    <w:p>
      <w:pPr>
        <w:pStyle w:val="3"/>
        <w:keepNext/>
        <w:keepLines/>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eastAsia" w:ascii="仿宋_GB2312" w:hAnsi="仿宋_GB2312" w:eastAsia="仿宋_GB2312" w:cs="仿宋_GB2312"/>
          <w:color w:val="auto"/>
          <w:sz w:val="30"/>
          <w:szCs w:val="30"/>
          <w:shd w:val="clear" w:color="auto" w:fill="auto"/>
          <w:lang w:val="en-US" w:eastAsia="zh-CN"/>
        </w:rPr>
      </w:pPr>
      <w:bookmarkStart w:id="44" w:name="_Toc26115"/>
      <w:r>
        <w:rPr>
          <w:rFonts w:hint="eastAsia"/>
          <w:b w:val="0"/>
          <w:bCs/>
          <w:color w:val="auto"/>
          <w:shd w:val="clear" w:color="auto" w:fill="auto"/>
          <w:lang w:val="en-US" w:eastAsia="zh-CN"/>
        </w:rPr>
        <w:t>第一节  生态保护</w:t>
      </w:r>
      <w:bookmarkEnd w:id="44"/>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为构筑湘西自治州特色山水体系，保护生态环境基底，维护自然山水格局，展现湘西自治州“山入城、水梳城”人与自然和谐相处的山水风光景色，应严格保护城区内的永久性保护山体、水域、重点绿地及其他城市绿地。</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锚固“两水两脉多节点”的生态保护格局。即州域东西走向的酉水、武水形成的两条生态廊道；北支八面山-乌龙山-太平山-印家界-白云山和南支羊峰山-吕洞山-腊尔山两条自然山脉以及以自然保护地、国家一级公益林、国家一级饮用水水源保护地为主体的生态功能节点。</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加强各河道的生态基流保障和污染治理，提高水系连通性，提升生物洄游、迁徙等生态功能，形成联通山水、功能复合的绿色生态廊道网络。</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当规划城市道路穿越山体时，对于规模较大、较为完整的山系，快速路、主次干路宜采用隧道或“生态桥”等方式，形成连续的自然连接带和游览通道。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保护城市水岸线、山脊线、天际线。临山体的建设尽量减少山体开挖，应依山就势，鼓励采用台地式布局；临水体的建设</w:t>
      </w:r>
      <w:r>
        <w:rPr>
          <w:rFonts w:hint="eastAsia" w:ascii="仿宋_GB2312" w:hAnsi="仿宋_GB2312" w:eastAsia="仿宋_GB2312" w:cs="仿宋_GB2312"/>
          <w:color w:val="auto"/>
          <w:sz w:val="30"/>
          <w:szCs w:val="30"/>
          <w:shd w:val="clear" w:color="auto" w:fill="auto"/>
          <w:lang w:val="en-US" w:eastAsia="zh-CN"/>
        </w:rPr>
        <w:t>应当结合河道划界成果，严禁侵占河道，</w:t>
      </w:r>
      <w:r>
        <w:rPr>
          <w:rFonts w:hint="eastAsia" w:ascii="仿宋_GB2312" w:hAnsi="仿宋_GB2312" w:eastAsia="仿宋_GB2312" w:cs="仿宋_GB2312"/>
          <w:color w:val="auto"/>
          <w:sz w:val="30"/>
          <w:szCs w:val="30"/>
          <w:shd w:val="clear" w:color="auto" w:fill="auto"/>
          <w:lang w:val="en-US" w:eastAsia="zh-CN"/>
        </w:rPr>
        <w:t xml:space="preserve">突出亲水性，减少人工痕迹,鼓励临水设置开敞、连续的公共空间。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山体及周边进行开发时应保持原有地形特征，应保持山体延续性。建设项目范围内有保留山体的，应按山地建筑方式进行建设，并进行坡面绿化。</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ascii="仿宋" w:hAnsi="仿宋" w:eastAsia="仿宋" w:cs="仿宋"/>
          <w:color w:val="auto"/>
          <w:kern w:val="0"/>
          <w:sz w:val="30"/>
          <w:szCs w:val="30"/>
          <w:shd w:val="clear" w:color="auto" w:fill="auto"/>
          <w:lang w:val="en-US" w:eastAsia="zh-CN" w:bidi="ar"/>
        </w:rPr>
        <w:t>严格加强古树名木保护，对古树名木实施分级特殊保护</w:t>
      </w:r>
      <w:r>
        <w:rPr>
          <w:rFonts w:hint="eastAsia" w:ascii="仿宋" w:hAnsi="仿宋" w:eastAsia="仿宋" w:cs="仿宋"/>
          <w:color w:val="auto"/>
          <w:kern w:val="0"/>
          <w:sz w:val="30"/>
          <w:szCs w:val="30"/>
          <w:shd w:val="clear" w:color="auto" w:fill="auto"/>
          <w:lang w:val="en-US" w:eastAsia="zh-CN" w:bidi="ar"/>
        </w:rPr>
        <w:t>。涉及古树名木后备资源的应落实就地保护。</w:t>
      </w:r>
    </w:p>
    <w:p>
      <w:pPr>
        <w:pStyle w:val="3"/>
        <w:keepNext/>
        <w:keepLines/>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eastAsia"/>
          <w:b w:val="0"/>
          <w:bCs/>
          <w:color w:val="auto"/>
          <w:shd w:val="clear" w:color="auto" w:fill="auto"/>
          <w:lang w:val="en-US" w:eastAsia="zh-CN"/>
        </w:rPr>
      </w:pPr>
      <w:bookmarkStart w:id="45" w:name="_Toc18853"/>
      <w:r>
        <w:rPr>
          <w:rFonts w:hint="eastAsia"/>
          <w:b w:val="0"/>
          <w:bCs/>
          <w:color w:val="auto"/>
          <w:shd w:val="clear" w:color="auto" w:fill="auto"/>
          <w:lang w:val="en-US" w:eastAsia="zh-CN"/>
        </w:rPr>
        <w:t>第二节  城市景观</w:t>
      </w:r>
      <w:bookmarkEnd w:id="45"/>
      <w:r>
        <w:rPr>
          <w:rFonts w:hint="eastAsia"/>
          <w:b w:val="0"/>
          <w:bCs/>
          <w:color w:val="auto"/>
          <w:shd w:val="clear" w:color="auto" w:fill="auto"/>
          <w:lang w:val="en-US" w:eastAsia="zh-CN"/>
        </w:rPr>
        <w:t xml:space="preserve"> </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应遵循湘西自治州城市风貌总体定位为“民族多彩、文化交融、山水入城、现代时尚”。州府城市在彰显民族特征的同时，注重现代民族特征的传承与发扬，打造新湘西建筑风。各县城侧重民族、文化、自然与现代的有机结合，打造各具特色的民族文化城镇。延边口岸城镇保护和发扬城镇原有传统风貌特征，彰显本地风情，建设以小尺度开放街区为主，打造宜居宜游的独特魅力风情口岸城镇。</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下列区域应当划入详细城市设计重点地区：（一）城市核心区和城市更新片区；（二）历史文化街区和其他体现历史风貌的地区；（三）新城新区；（四）城市出入口、主要城市道路和旅游道路两厢、城市广场和公园绿地；（五）临山、滨水重点地区；（六）机场、高铁站点等城市门户地区；（七）其他能够集中体现和塑造城市文化、风貌特色，具有特殊价值的地区。</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空间形态控制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天际线的控制应与自然山体轮廓相协调，滨水、临山及临城市公园地块内的低、多层建筑（含裙房）面宽一般不超过80米，建筑布局宜开敞、通透，留出景观视廊和生态走廊，避免山、河、湖等生态景观资源被建筑物过度遮挡。以高层建筑为主且计容建筑面积20万平方米以上的地块应进行建筑高度分区设计，分组团形成建筑高度的梯级变化。在同一标高地面，连续等高建筑数量原则上不宜超过3栋，3栋以上应当进行错落设计，高差不小于较高建筑的1/5。在地形变化较大的情况下，可结合竖向设计形成高低错落的建筑环境。建筑单体的尺度应与周边相协调，建筑群体和沿街道布置的低、多层建筑（含裙房），应通过有组织的重复、分段、增加细节、进退变化等方式，形成韵律和节奏。</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建筑风格与建筑立面控制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建筑风格需结合建筑所属区域和功能确定，同一建设项目建筑风格应以协调统一为主。历史文化街区以传统建筑风格为主，彰显文化特色。新城区建筑风格以简洁规整的现代风格为主，融合民族特色，体现时代特征。居住建筑沿城镇主次干道、重要景观路布局的，具有晾晒功能的生活阳台宜设置在不临街的方向；防护窗（防盗网）、空调机位、落水管、防护栏杆等附属设施应结合外墙进行隐蔽处理；鼓励居住建筑禁止安装防盗网，提倡首选安装隐形防护网。建筑外立面应采用美观大方、具有良好的色彩和质感的现代建筑材料或富有特色的本土材料。要严格控制使用玻璃幕墙，除部分商业中心外，其他没有特殊使用要求的建设项目原则上不得采用大面积玻璃幕墙。高层建筑屋顶应与主体建筑一体化设计，体现建筑特色和区域天际线效果。低、多层住宅建筑的屋面形态应与周边自然要素相协调，与周边既有建筑环境相统一，原则上应采用坡屋顶或生态屋面。所有屋顶设备应进行隐蔽处理。</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公共空间控制</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default"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新建建设项目应在基地内沿道路交叉口或基地出入口设置广场等公共共享空间，并对外开放。住宅项目的广场等公共共享空间总面积原则上不少于基地面积的5%，且不宜小于200平方米，并尽可能增加绿化面积。鼓励人行道与相邻建筑退界空间进行一体化设计，塑造高品质步行空间。</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广告设施与夜景亮化控制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both"/>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依附于新建建筑外墙设置的广告设施，原则上应结合建筑外立面一并设计与实施，并与建筑实体环境充分融合。夜景亮化设计应充分运用本地特色元素，原则上与项目方案一并设计和报审，鼓励使用暗光、哑光照明设施，尽量避免炫光造成城市光污染。标志性的公共建筑的夜景照明宜考虑不同距离和角度的观赏效果，强化其夜景的地标作用。重要公共开敞空间周边高度超过24米的公共建筑应进行建筑立面灯光亮化处理。</w:t>
      </w:r>
    </w:p>
    <w:p>
      <w:pPr>
        <w:pStyle w:val="11"/>
        <w:keepNext w:val="0"/>
        <w:keepLines w:val="0"/>
        <w:pageBreakBefore w:val="0"/>
        <w:widowControl/>
        <w:numPr>
          <w:ilvl w:val="1"/>
          <w:numId w:val="4"/>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景观环境控制</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按照适地适树原则，城市绿化优先选用本地绿化树种，优化树种搭配，丰富植被色彩，打造四季有花开，处处有色彩的城市美景。公共活动区域的绿化植被应以草地和大树冠乔木为主，少用灌木，提高实用性和遮阴性。建设项目附属绿地原则上应与项目方案一并设计和报审。鼓励垂直绿化，临街的挡墙、护坡宜结合绿化进行设计，软化硬质界面。导向标识、城市家具等附属设施应结合公共空间中的其他要素进行一体化设计，充分体现民族特色和地域特征。</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仿宋_GB2312" w:hAnsi="仿宋_GB2312" w:eastAsia="仿宋_GB2312" w:cs="仿宋_GB2312"/>
          <w:color w:val="auto"/>
          <w:sz w:val="30"/>
          <w:szCs w:val="30"/>
          <w:shd w:val="clear" w:color="auto" w:fill="auto"/>
          <w:lang w:val="en-US" w:eastAsia="zh-CN"/>
        </w:rPr>
      </w:pPr>
    </w:p>
    <w:p>
      <w:pPr>
        <w:pStyle w:val="2"/>
        <w:pageBreakBefore w:val="0"/>
        <w:numPr>
          <w:ilvl w:val="0"/>
          <w:numId w:val="3"/>
        </w:numPr>
        <w:kinsoku/>
        <w:wordWrap/>
        <w:overflowPunct/>
        <w:topLinePunct w:val="0"/>
        <w:autoSpaceDE/>
        <w:bidi w:val="0"/>
        <w:spacing w:line="360" w:lineRule="auto"/>
        <w:ind w:firstLine="602" w:firstLineChars="200"/>
        <w:jc w:val="center"/>
        <w:rPr>
          <w:rFonts w:hint="eastAsia"/>
          <w:color w:val="auto"/>
          <w:sz w:val="36"/>
          <w:szCs w:val="36"/>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 xml:space="preserve"> </w:t>
      </w:r>
      <w:bookmarkStart w:id="46" w:name="_Toc1012"/>
      <w:r>
        <w:rPr>
          <w:rFonts w:hint="eastAsia"/>
          <w:color w:val="auto"/>
          <w:sz w:val="36"/>
          <w:szCs w:val="36"/>
          <w:shd w:val="clear" w:color="auto" w:fill="auto"/>
          <w:lang w:val="zh-CN" w:eastAsia="zh-CN"/>
        </w:rPr>
        <w:t>历史文化保护</w:t>
      </w:r>
      <w:bookmarkEnd w:id="46"/>
    </w:p>
    <w:p>
      <w:pPr>
        <w:pStyle w:val="11"/>
        <w:widowControl/>
        <w:numPr>
          <w:ilvl w:val="1"/>
          <w:numId w:val="4"/>
        </w:numPr>
        <w:shd w:val="clear" w:color="auto" w:fill="FFFFFF"/>
        <w:spacing w:beforeAutospacing="0" w:afterAutospacing="0" w:line="360" w:lineRule="auto"/>
        <w:ind w:firstLine="600" w:firstLineChars="200"/>
        <w:jc w:val="both"/>
        <w:rPr>
          <w:rFonts w:hint="eastAsia" w:ascii="仿宋_GB2312" w:hAnsi="仿宋_GB2312" w:eastAsia="仿宋_GB2312" w:cs="仿宋_GB2312"/>
          <w:color w:val="auto"/>
          <w:sz w:val="30"/>
          <w:szCs w:val="30"/>
          <w:shd w:val="clear" w:color="auto" w:fill="auto"/>
          <w:lang w:val="en-US" w:eastAsia="zh-CN" w:bidi="ar"/>
        </w:rPr>
      </w:pPr>
      <w:r>
        <w:rPr>
          <w:rFonts w:hint="eastAsia" w:ascii="仿宋_GB2312" w:hAnsi="仿宋_GB2312" w:eastAsia="仿宋_GB2312" w:cs="仿宋_GB2312"/>
          <w:color w:val="auto"/>
          <w:sz w:val="30"/>
          <w:szCs w:val="30"/>
          <w:shd w:val="clear" w:color="auto" w:fill="auto"/>
          <w:lang w:bidi="ar"/>
        </w:rPr>
        <w:t>历史文化名城、名镇应当整体保护，保持传统格局、历史风貌和空间尺度，不得改变与其相互依存的自然景观和环境。</w:t>
      </w:r>
    </w:p>
    <w:p>
      <w:pPr>
        <w:pStyle w:val="11"/>
        <w:widowControl/>
        <w:numPr>
          <w:ilvl w:val="1"/>
          <w:numId w:val="4"/>
        </w:numPr>
        <w:shd w:val="clear" w:color="auto" w:fill="FFFFFF"/>
        <w:spacing w:beforeAutospacing="0" w:afterAutospacing="0" w:line="360" w:lineRule="auto"/>
        <w:ind w:firstLine="600" w:firstLineChars="200"/>
        <w:jc w:val="both"/>
        <w:rPr>
          <w:rFonts w:hint="eastAsia" w:ascii="仿宋_GB2312" w:hAnsi="仿宋_GB2312" w:eastAsia="仿宋_GB2312" w:cs="仿宋_GB2312"/>
          <w:color w:val="auto"/>
          <w:sz w:val="30"/>
          <w:szCs w:val="30"/>
          <w:shd w:val="clear" w:color="auto" w:fill="auto"/>
          <w:lang w:val="en-US" w:eastAsia="zh-CN" w:bidi="ar"/>
        </w:rPr>
      </w:pPr>
      <w:r>
        <w:rPr>
          <w:rFonts w:hint="eastAsia" w:ascii="仿宋_GB2312" w:hAnsi="仿宋_GB2312" w:eastAsia="仿宋_GB2312" w:cs="仿宋_GB2312"/>
          <w:color w:val="auto"/>
          <w:sz w:val="30"/>
          <w:szCs w:val="30"/>
          <w:shd w:val="clear" w:color="auto" w:fill="auto"/>
          <w:lang w:bidi="ar"/>
        </w:rPr>
        <w:t>在历史文化名城、名镇保护范围内从事建设活动，应当符合保护规划的要求，不得损害历史文化遗产的真实性和完整性，不得对其传统格局和历史风貌构成破坏性影响。</w:t>
      </w:r>
      <w:r>
        <w:rPr>
          <w:rFonts w:hint="default" w:ascii="仿宋_GB2312" w:hAnsi="仿宋_GB2312" w:eastAsia="仿宋_GB2312" w:cs="仿宋_GB2312"/>
          <w:color w:val="auto"/>
          <w:sz w:val="30"/>
          <w:szCs w:val="30"/>
          <w:shd w:val="clear" w:color="auto" w:fill="auto"/>
          <w:lang w:bidi="ar"/>
        </w:rPr>
        <w:t>在历史文化名城、名镇保护范围内涉及文物保护的，应当执行文物保护法律、法规的规定</w:t>
      </w:r>
      <w:r>
        <w:rPr>
          <w:rFonts w:hint="eastAsia" w:ascii="仿宋_GB2312" w:hAnsi="仿宋_GB2312" w:eastAsia="仿宋_GB2312" w:cs="仿宋_GB2312"/>
          <w:color w:val="auto"/>
          <w:sz w:val="30"/>
          <w:szCs w:val="30"/>
          <w:shd w:val="clear" w:color="auto" w:fill="auto"/>
          <w:lang w:eastAsia="zh-CN" w:bidi="ar"/>
        </w:rPr>
        <w:t>。</w:t>
      </w:r>
    </w:p>
    <w:p>
      <w:pPr>
        <w:pStyle w:val="11"/>
        <w:widowControl/>
        <w:numPr>
          <w:ilvl w:val="0"/>
          <w:numId w:val="0"/>
        </w:numPr>
        <w:shd w:val="clear" w:color="auto" w:fill="FFFFFF"/>
        <w:tabs>
          <w:tab w:val="left" w:pos="0"/>
        </w:tabs>
        <w:spacing w:beforeAutospacing="0" w:afterAutospacing="0" w:line="360" w:lineRule="auto"/>
        <w:ind w:leftChars="200" w:right="0" w:rightChars="0"/>
        <w:jc w:val="both"/>
        <w:rPr>
          <w:rFonts w:hint="eastAsia"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val="en-US" w:eastAsia="zh-CN" w:bidi="ar"/>
        </w:rPr>
        <w:t>1、</w:t>
      </w:r>
      <w:r>
        <w:rPr>
          <w:rFonts w:hint="default" w:ascii="仿宋_GB2312" w:hAnsi="仿宋_GB2312" w:eastAsia="仿宋_GB2312" w:cs="仿宋_GB2312"/>
          <w:color w:val="auto"/>
          <w:sz w:val="30"/>
          <w:szCs w:val="30"/>
          <w:shd w:val="clear" w:color="auto" w:fill="auto"/>
          <w:lang w:bidi="ar"/>
        </w:rPr>
        <w:t>在历史文化名城、名镇保护范围内禁止进行下列活动：</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仿宋_GB2312" w:hAnsi="仿宋_GB2312" w:eastAsia="仿宋_GB2312" w:cs="仿宋_GB2312"/>
          <w:color w:val="auto"/>
          <w:sz w:val="30"/>
          <w:szCs w:val="30"/>
          <w:shd w:val="clear" w:color="auto" w:fill="auto"/>
          <w:lang w:val="en-US" w:eastAsia="zh-CN"/>
        </w:rPr>
      </w:pPr>
      <w:r>
        <w:rPr>
          <w:rFonts w:hint="default" w:ascii="仿宋_GB2312" w:hAnsi="仿宋_GB2312" w:eastAsia="仿宋_GB2312" w:cs="仿宋_GB2312"/>
          <w:color w:val="auto"/>
          <w:sz w:val="30"/>
          <w:szCs w:val="30"/>
          <w:shd w:val="clear" w:color="auto" w:fill="auto"/>
          <w:lang w:val="en-US" w:eastAsia="zh-CN"/>
        </w:rPr>
        <w:t>（</w:t>
      </w:r>
      <w:r>
        <w:rPr>
          <w:rFonts w:hint="eastAsia" w:ascii="仿宋_GB2312" w:hAnsi="仿宋_GB2312" w:eastAsia="仿宋_GB2312" w:cs="仿宋_GB2312"/>
          <w:color w:val="auto"/>
          <w:sz w:val="30"/>
          <w:szCs w:val="30"/>
          <w:shd w:val="clear" w:color="auto" w:fill="auto"/>
          <w:lang w:val="en-US" w:eastAsia="zh-CN"/>
        </w:rPr>
        <w:t>1</w:t>
      </w:r>
      <w:r>
        <w:rPr>
          <w:rFonts w:hint="default" w:ascii="仿宋_GB2312" w:hAnsi="仿宋_GB2312" w:eastAsia="仿宋_GB2312" w:cs="仿宋_GB2312"/>
          <w:color w:val="auto"/>
          <w:sz w:val="30"/>
          <w:szCs w:val="30"/>
          <w:shd w:val="clear" w:color="auto" w:fill="auto"/>
          <w:lang w:val="en-US" w:eastAsia="zh-CN"/>
        </w:rPr>
        <w:t>）开山、采石、开矿等破坏传统格局和历史风貌的活动；</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仿宋_GB2312" w:hAnsi="仿宋_GB2312" w:eastAsia="仿宋_GB2312" w:cs="仿宋_GB2312"/>
          <w:color w:val="auto"/>
          <w:sz w:val="30"/>
          <w:szCs w:val="30"/>
          <w:shd w:val="clear" w:color="auto" w:fill="auto"/>
          <w:lang w:val="en-US" w:eastAsia="zh-CN"/>
        </w:rPr>
      </w:pPr>
      <w:r>
        <w:rPr>
          <w:rFonts w:hint="default" w:ascii="仿宋_GB2312" w:hAnsi="仿宋_GB2312" w:eastAsia="仿宋_GB2312" w:cs="仿宋_GB2312"/>
          <w:color w:val="auto"/>
          <w:sz w:val="30"/>
          <w:szCs w:val="30"/>
          <w:shd w:val="clear" w:color="auto" w:fill="auto"/>
          <w:lang w:val="en-US" w:eastAsia="zh-CN"/>
        </w:rPr>
        <w:t>（</w:t>
      </w:r>
      <w:r>
        <w:rPr>
          <w:rFonts w:hint="eastAsia" w:ascii="仿宋_GB2312" w:hAnsi="仿宋_GB2312" w:eastAsia="仿宋_GB2312" w:cs="仿宋_GB2312"/>
          <w:color w:val="auto"/>
          <w:sz w:val="30"/>
          <w:szCs w:val="30"/>
          <w:shd w:val="clear" w:color="auto" w:fill="auto"/>
          <w:lang w:val="en-US" w:eastAsia="zh-CN"/>
        </w:rPr>
        <w:t>2</w:t>
      </w:r>
      <w:r>
        <w:rPr>
          <w:rFonts w:hint="default" w:ascii="仿宋_GB2312" w:hAnsi="仿宋_GB2312" w:eastAsia="仿宋_GB2312" w:cs="仿宋_GB2312"/>
          <w:color w:val="auto"/>
          <w:sz w:val="30"/>
          <w:szCs w:val="30"/>
          <w:shd w:val="clear" w:color="auto" w:fill="auto"/>
          <w:lang w:val="en-US" w:eastAsia="zh-CN"/>
        </w:rPr>
        <w:t>）占用保护规划确定保留的园林绿地、河湖水系、道路</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default" w:ascii="仿宋_GB2312" w:hAnsi="仿宋_GB2312" w:eastAsia="仿宋_GB2312" w:cs="仿宋_GB2312"/>
          <w:color w:val="auto"/>
          <w:sz w:val="30"/>
          <w:szCs w:val="30"/>
          <w:shd w:val="clear" w:color="auto" w:fill="auto"/>
          <w:lang w:val="en-US" w:eastAsia="zh-CN"/>
        </w:rPr>
      </w:pPr>
      <w:r>
        <w:rPr>
          <w:rFonts w:hint="default" w:ascii="仿宋_GB2312" w:hAnsi="仿宋_GB2312" w:eastAsia="仿宋_GB2312" w:cs="仿宋_GB2312"/>
          <w:color w:val="auto"/>
          <w:sz w:val="30"/>
          <w:szCs w:val="30"/>
          <w:shd w:val="clear" w:color="auto" w:fill="auto"/>
          <w:lang w:val="en-US" w:eastAsia="zh-CN"/>
        </w:rPr>
        <w:t>等；</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（3）</w:t>
      </w:r>
      <w:r>
        <w:rPr>
          <w:rFonts w:hint="default" w:ascii="仿宋_GB2312" w:hAnsi="仿宋_GB2312" w:eastAsia="仿宋_GB2312" w:cs="仿宋_GB2312"/>
          <w:color w:val="auto"/>
          <w:sz w:val="30"/>
          <w:szCs w:val="30"/>
          <w:shd w:val="clear" w:color="auto" w:fill="auto"/>
          <w:lang w:val="en-US" w:eastAsia="zh-CN"/>
        </w:rPr>
        <w:t>修建生产、储存爆炸性、易燃性、放射性、毒害性、</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textAlignment w:val="auto"/>
        <w:rPr>
          <w:rFonts w:hint="default" w:ascii="仿宋_GB2312" w:hAnsi="仿宋_GB2312" w:eastAsia="仿宋_GB2312" w:cs="仿宋_GB2312"/>
          <w:color w:val="auto"/>
          <w:sz w:val="30"/>
          <w:szCs w:val="30"/>
          <w:shd w:val="clear" w:color="auto" w:fill="auto"/>
          <w:lang w:val="en-US" w:eastAsia="zh-CN"/>
        </w:rPr>
      </w:pPr>
      <w:r>
        <w:rPr>
          <w:rFonts w:hint="default" w:ascii="仿宋_GB2312" w:hAnsi="仿宋_GB2312" w:eastAsia="仿宋_GB2312" w:cs="仿宋_GB2312"/>
          <w:color w:val="auto"/>
          <w:sz w:val="30"/>
          <w:szCs w:val="30"/>
          <w:shd w:val="clear" w:color="auto" w:fill="auto"/>
          <w:lang w:val="en-US" w:eastAsia="zh-CN"/>
        </w:rPr>
        <w:t>腐蚀性物品的工厂、仓库等；</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default" w:ascii="仿宋_GB2312" w:hAnsi="仿宋_GB2312" w:eastAsia="仿宋_GB2312" w:cs="仿宋_GB2312"/>
          <w:color w:val="auto"/>
          <w:sz w:val="30"/>
          <w:szCs w:val="30"/>
          <w:shd w:val="clear" w:color="auto" w:fill="auto"/>
          <w:lang w:val="en-US" w:eastAsia="zh-CN"/>
        </w:rPr>
      </w:pPr>
      <w:r>
        <w:rPr>
          <w:rFonts w:hint="default" w:ascii="仿宋_GB2312" w:hAnsi="仿宋_GB2312" w:eastAsia="仿宋_GB2312" w:cs="仿宋_GB2312"/>
          <w:color w:val="auto"/>
          <w:sz w:val="30"/>
          <w:szCs w:val="30"/>
          <w:shd w:val="clear" w:color="auto" w:fill="auto"/>
          <w:lang w:val="en-US" w:eastAsia="zh-CN"/>
        </w:rPr>
        <w:t>（</w:t>
      </w:r>
      <w:r>
        <w:rPr>
          <w:rFonts w:hint="eastAsia" w:ascii="仿宋_GB2312" w:hAnsi="仿宋_GB2312" w:eastAsia="仿宋_GB2312" w:cs="仿宋_GB2312"/>
          <w:color w:val="auto"/>
          <w:sz w:val="30"/>
          <w:szCs w:val="30"/>
          <w:shd w:val="clear" w:color="auto" w:fill="auto"/>
          <w:lang w:val="en-US" w:eastAsia="zh-CN"/>
        </w:rPr>
        <w:t>4</w:t>
      </w:r>
      <w:r>
        <w:rPr>
          <w:rFonts w:hint="default" w:ascii="仿宋_GB2312" w:hAnsi="仿宋_GB2312" w:eastAsia="仿宋_GB2312" w:cs="仿宋_GB2312"/>
          <w:color w:val="auto"/>
          <w:sz w:val="30"/>
          <w:szCs w:val="30"/>
          <w:shd w:val="clear" w:color="auto" w:fill="auto"/>
          <w:lang w:val="en-US" w:eastAsia="zh-CN"/>
        </w:rPr>
        <w:t>）在历史建筑上刻划、涂污。</w:t>
      </w:r>
    </w:p>
    <w:p>
      <w:pPr>
        <w:pStyle w:val="11"/>
        <w:widowControl/>
        <w:numPr>
          <w:ilvl w:val="0"/>
          <w:numId w:val="0"/>
        </w:numPr>
        <w:shd w:val="clear" w:color="auto" w:fill="FFFFFF"/>
        <w:tabs>
          <w:tab w:val="left" w:pos="0"/>
        </w:tabs>
        <w:spacing w:beforeAutospacing="0" w:afterAutospacing="0" w:line="360" w:lineRule="auto"/>
        <w:ind w:leftChars="200" w:right="0" w:rightChars="0"/>
        <w:jc w:val="both"/>
        <w:rPr>
          <w:rFonts w:hint="default"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val="en-US" w:eastAsia="zh-CN" w:bidi="ar"/>
        </w:rPr>
        <w:t>2、</w:t>
      </w:r>
      <w:r>
        <w:rPr>
          <w:rFonts w:hint="default" w:ascii="仿宋_GB2312" w:hAnsi="仿宋_GB2312" w:eastAsia="仿宋_GB2312" w:cs="仿宋_GB2312"/>
          <w:color w:val="auto"/>
          <w:sz w:val="30"/>
          <w:szCs w:val="30"/>
          <w:shd w:val="clear" w:color="auto" w:fill="auto"/>
          <w:lang w:bidi="ar"/>
        </w:rPr>
        <w:t>在历史文化名城、名镇保护范围内进行下列活动，应当保</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护其传统格局、历史风貌和历史建筑；制订保护方案，并依照有关法律、法规的规定办理相关手续：</w:t>
      </w:r>
    </w:p>
    <w:p>
      <w:pPr>
        <w:pStyle w:val="11"/>
        <w:widowControl/>
        <w:numPr>
          <w:ilvl w:val="0"/>
          <w:numId w:val="0"/>
        </w:numPr>
        <w:shd w:val="clear" w:color="auto" w:fill="FFFFFF"/>
        <w:tabs>
          <w:tab w:val="left" w:pos="0"/>
        </w:tabs>
        <w:spacing w:beforeAutospacing="0" w:afterAutospacing="0" w:line="360" w:lineRule="auto"/>
        <w:ind w:leftChars="200"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w:t>
      </w:r>
      <w:r>
        <w:rPr>
          <w:rFonts w:hint="eastAsia" w:ascii="仿宋_GB2312" w:hAnsi="仿宋_GB2312" w:eastAsia="仿宋_GB2312" w:cs="仿宋_GB2312"/>
          <w:color w:val="auto"/>
          <w:sz w:val="30"/>
          <w:szCs w:val="30"/>
          <w:shd w:val="clear" w:color="auto" w:fill="auto"/>
          <w:lang w:val="en-US" w:eastAsia="zh-CN" w:bidi="ar"/>
        </w:rPr>
        <w:t>1</w:t>
      </w:r>
      <w:r>
        <w:rPr>
          <w:rFonts w:hint="default" w:ascii="仿宋_GB2312" w:hAnsi="仿宋_GB2312" w:eastAsia="仿宋_GB2312" w:cs="仿宋_GB2312"/>
          <w:color w:val="auto"/>
          <w:sz w:val="30"/>
          <w:szCs w:val="30"/>
          <w:shd w:val="clear" w:color="auto" w:fill="auto"/>
          <w:lang w:bidi="ar"/>
        </w:rPr>
        <w:t>）改变园林绿地、河湖水系等自然状态的活动；</w:t>
      </w:r>
    </w:p>
    <w:p>
      <w:pPr>
        <w:pStyle w:val="11"/>
        <w:widowControl/>
        <w:numPr>
          <w:ilvl w:val="0"/>
          <w:numId w:val="0"/>
        </w:numPr>
        <w:shd w:val="clear" w:color="auto" w:fill="FFFFFF"/>
        <w:tabs>
          <w:tab w:val="left" w:pos="0"/>
        </w:tabs>
        <w:spacing w:beforeAutospacing="0" w:afterAutospacing="0" w:line="360" w:lineRule="auto"/>
        <w:ind w:leftChars="200"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w:t>
      </w:r>
      <w:r>
        <w:rPr>
          <w:rFonts w:hint="eastAsia" w:ascii="仿宋_GB2312" w:hAnsi="仿宋_GB2312" w:eastAsia="仿宋_GB2312" w:cs="仿宋_GB2312"/>
          <w:color w:val="auto"/>
          <w:sz w:val="30"/>
          <w:szCs w:val="30"/>
          <w:shd w:val="clear" w:color="auto" w:fill="auto"/>
          <w:lang w:val="en-US" w:eastAsia="zh-CN" w:bidi="ar"/>
        </w:rPr>
        <w:t>2</w:t>
      </w:r>
      <w:r>
        <w:rPr>
          <w:rFonts w:hint="default" w:ascii="仿宋_GB2312" w:hAnsi="仿宋_GB2312" w:eastAsia="仿宋_GB2312" w:cs="仿宋_GB2312"/>
          <w:color w:val="auto"/>
          <w:sz w:val="30"/>
          <w:szCs w:val="30"/>
          <w:shd w:val="clear" w:color="auto" w:fill="auto"/>
          <w:lang w:bidi="ar"/>
        </w:rPr>
        <w:t>）在核心保护范围内进行影视摄制、举办大型群众性活</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动；</w:t>
      </w:r>
    </w:p>
    <w:p>
      <w:pPr>
        <w:pStyle w:val="11"/>
        <w:widowControl/>
        <w:numPr>
          <w:ilvl w:val="0"/>
          <w:numId w:val="0"/>
        </w:numPr>
        <w:shd w:val="clear" w:color="auto" w:fill="FFFFFF"/>
        <w:tabs>
          <w:tab w:val="left" w:pos="0"/>
        </w:tabs>
        <w:spacing w:beforeAutospacing="0" w:afterAutospacing="0" w:line="360" w:lineRule="auto"/>
        <w:ind w:leftChars="200"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w:t>
      </w:r>
      <w:r>
        <w:rPr>
          <w:rFonts w:hint="eastAsia" w:ascii="仿宋_GB2312" w:hAnsi="仿宋_GB2312" w:eastAsia="仿宋_GB2312" w:cs="仿宋_GB2312"/>
          <w:color w:val="auto"/>
          <w:sz w:val="30"/>
          <w:szCs w:val="30"/>
          <w:shd w:val="clear" w:color="auto" w:fill="auto"/>
          <w:lang w:val="en-US" w:eastAsia="zh-CN" w:bidi="ar"/>
        </w:rPr>
        <w:t>3</w:t>
      </w:r>
      <w:r>
        <w:rPr>
          <w:rFonts w:hint="default" w:ascii="仿宋_GB2312" w:hAnsi="仿宋_GB2312" w:eastAsia="仿宋_GB2312" w:cs="仿宋_GB2312"/>
          <w:color w:val="auto"/>
          <w:sz w:val="30"/>
          <w:szCs w:val="30"/>
          <w:shd w:val="clear" w:color="auto" w:fill="auto"/>
          <w:lang w:bidi="ar"/>
        </w:rPr>
        <w:t>）其他影响传统格局、历史风貌或者历史建筑的活动。</w:t>
      </w:r>
    </w:p>
    <w:p>
      <w:pPr>
        <w:pStyle w:val="11"/>
        <w:widowControl/>
        <w:numPr>
          <w:ilvl w:val="0"/>
          <w:numId w:val="0"/>
        </w:numPr>
        <w:shd w:val="clear" w:color="auto" w:fill="FFFFFF"/>
        <w:tabs>
          <w:tab w:val="left" w:pos="0"/>
        </w:tabs>
        <w:spacing w:beforeAutospacing="0" w:afterAutospacing="0" w:line="360" w:lineRule="auto"/>
        <w:ind w:leftChars="200" w:right="0" w:rightChars="0"/>
        <w:jc w:val="both"/>
        <w:rPr>
          <w:rFonts w:hint="default"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val="en-US" w:eastAsia="zh-CN" w:bidi="ar"/>
        </w:rPr>
        <w:t>3、</w:t>
      </w:r>
      <w:r>
        <w:rPr>
          <w:rFonts w:hint="default" w:ascii="仿宋_GB2312" w:hAnsi="仿宋_GB2312" w:eastAsia="仿宋_GB2312" w:cs="仿宋_GB2312"/>
          <w:color w:val="auto"/>
          <w:sz w:val="30"/>
          <w:szCs w:val="30"/>
          <w:shd w:val="clear" w:color="auto" w:fill="auto"/>
          <w:lang w:bidi="ar"/>
        </w:rPr>
        <w:t>对历史文化街区、名镇核心保护范围内的建筑物、构筑物，</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应当区分不同情况，采取相应措施，实行分类保护。</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历史文化街区、名镇核心保护范围内的历史建筑，应当保持</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原有的高度、体量、外观形象及色彩等。</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在历史文化街区、名镇核心保护范围内，不得进行新建、扩</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建活动。但是，新建、扩建必要的基础设施和公共服务设施除外。</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在历史文化街区、名镇核心保护范围内，新建、扩建必要的</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基础设施和公共服务设施的，城市、县人民政府</w:t>
      </w:r>
      <w:r>
        <w:rPr>
          <w:rFonts w:hint="eastAsia" w:ascii="仿宋_GB2312" w:hAnsi="仿宋_GB2312" w:eastAsia="仿宋_GB2312" w:cs="仿宋_GB2312"/>
          <w:color w:val="auto"/>
          <w:sz w:val="30"/>
          <w:szCs w:val="30"/>
          <w:shd w:val="clear" w:color="auto" w:fill="auto"/>
          <w:lang w:eastAsia="zh-CN" w:bidi="ar"/>
        </w:rPr>
        <w:t>自然资源</w:t>
      </w:r>
      <w:r>
        <w:rPr>
          <w:rFonts w:hint="default" w:ascii="仿宋_GB2312" w:hAnsi="仿宋_GB2312" w:eastAsia="仿宋_GB2312" w:cs="仿宋_GB2312"/>
          <w:color w:val="auto"/>
          <w:sz w:val="30"/>
          <w:szCs w:val="30"/>
          <w:shd w:val="clear" w:color="auto" w:fill="auto"/>
          <w:lang w:bidi="ar"/>
        </w:rPr>
        <w:t>主管部门核发建设工程规划许可证前，应当征求同级文物主管部门的意见。</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在历史文化街区、名镇核心保护范围内，拆除历史建筑以外</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的建筑物、构筑物或者其他设施的，应当经城市、县人民政府</w:t>
      </w:r>
      <w:r>
        <w:rPr>
          <w:rFonts w:hint="eastAsia" w:ascii="仿宋_GB2312" w:hAnsi="仿宋_GB2312" w:eastAsia="仿宋_GB2312" w:cs="仿宋_GB2312"/>
          <w:color w:val="auto"/>
          <w:sz w:val="30"/>
          <w:szCs w:val="30"/>
          <w:shd w:val="clear" w:color="auto" w:fill="auto"/>
          <w:lang w:eastAsia="zh-CN" w:bidi="ar"/>
        </w:rPr>
        <w:t>自然资源</w:t>
      </w:r>
      <w:r>
        <w:rPr>
          <w:rFonts w:hint="default" w:ascii="仿宋_GB2312" w:hAnsi="仿宋_GB2312" w:eastAsia="仿宋_GB2312" w:cs="仿宋_GB2312"/>
          <w:color w:val="auto"/>
          <w:sz w:val="30"/>
          <w:szCs w:val="30"/>
          <w:shd w:val="clear" w:color="auto" w:fill="auto"/>
          <w:lang w:bidi="ar"/>
        </w:rPr>
        <w:t>主管部门会同同级文物主管部门批准。</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城市、县人民政府应当在历史文化街区、名镇核心保护范围</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right="0" w:rightChars="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的主要出入口设置</w:t>
      </w:r>
      <w:r>
        <w:rPr>
          <w:rFonts w:hint="default" w:ascii="仿宋_GB2312" w:hAnsi="仿宋_GB2312" w:eastAsia="仿宋_GB2312" w:cs="仿宋_GB2312"/>
          <w:color w:val="auto"/>
          <w:sz w:val="30"/>
          <w:szCs w:val="30"/>
          <w:shd w:val="clear" w:color="auto" w:fill="auto"/>
          <w:lang w:bidi="ar"/>
        </w:rPr>
        <w:fldChar w:fldCharType="begin"/>
      </w:r>
      <w:r>
        <w:rPr>
          <w:rFonts w:hint="default" w:ascii="仿宋_GB2312" w:hAnsi="仿宋_GB2312" w:eastAsia="仿宋_GB2312" w:cs="仿宋_GB2312"/>
          <w:color w:val="auto"/>
          <w:sz w:val="30"/>
          <w:szCs w:val="30"/>
          <w:shd w:val="clear" w:color="auto" w:fill="auto"/>
          <w:lang w:bidi="ar"/>
        </w:rPr>
        <w:instrText xml:space="preserve"> HYPERLINK "https://baike.sogou.com/lemma/ShowInnerLink.htm?lemmaId=69291172&amp;ss_c=ssc.citiao.link" \t "https://baike.sogou.com/_blank" </w:instrText>
      </w:r>
      <w:r>
        <w:rPr>
          <w:rFonts w:hint="default" w:ascii="仿宋_GB2312" w:hAnsi="仿宋_GB2312" w:eastAsia="仿宋_GB2312" w:cs="仿宋_GB2312"/>
          <w:color w:val="auto"/>
          <w:sz w:val="30"/>
          <w:szCs w:val="30"/>
          <w:shd w:val="clear" w:color="auto" w:fill="auto"/>
          <w:lang w:bidi="ar"/>
        </w:rPr>
        <w:fldChar w:fldCharType="separate"/>
      </w:r>
      <w:r>
        <w:rPr>
          <w:rFonts w:hint="default" w:ascii="仿宋_GB2312" w:hAnsi="仿宋_GB2312" w:eastAsia="仿宋_GB2312" w:cs="仿宋_GB2312"/>
          <w:color w:val="auto"/>
          <w:sz w:val="30"/>
          <w:szCs w:val="30"/>
          <w:shd w:val="clear" w:color="auto" w:fill="auto"/>
          <w:lang w:bidi="ar"/>
        </w:rPr>
        <w:t>标志牌</w:t>
      </w:r>
      <w:r>
        <w:rPr>
          <w:rFonts w:hint="default" w:ascii="仿宋_GB2312" w:hAnsi="仿宋_GB2312" w:eastAsia="仿宋_GB2312" w:cs="仿宋_GB2312"/>
          <w:color w:val="auto"/>
          <w:sz w:val="30"/>
          <w:szCs w:val="30"/>
          <w:shd w:val="clear" w:color="auto" w:fill="auto"/>
          <w:lang w:bidi="ar"/>
        </w:rPr>
        <w:fldChar w:fldCharType="end"/>
      </w:r>
      <w:r>
        <w:rPr>
          <w:rFonts w:hint="eastAsia" w:ascii="仿宋_GB2312" w:hAnsi="仿宋_GB2312" w:eastAsia="仿宋_GB2312" w:cs="仿宋_GB2312"/>
          <w:color w:val="auto"/>
          <w:sz w:val="30"/>
          <w:szCs w:val="30"/>
          <w:shd w:val="clear" w:color="auto" w:fill="auto"/>
          <w:lang w:eastAsia="zh-CN" w:bidi="ar"/>
        </w:rPr>
        <w:t>。</w:t>
      </w:r>
      <w:r>
        <w:rPr>
          <w:rFonts w:hint="default" w:ascii="仿宋_GB2312" w:hAnsi="仿宋_GB2312" w:eastAsia="仿宋_GB2312" w:cs="仿宋_GB2312"/>
          <w:color w:val="auto"/>
          <w:sz w:val="30"/>
          <w:szCs w:val="30"/>
          <w:shd w:val="clear" w:color="auto" w:fill="auto"/>
          <w:lang w:bidi="ar"/>
        </w:rPr>
        <w:t>任何单位和个人不得擅自设置、移动、涂改或者损毁标志牌。</w:t>
      </w:r>
    </w:p>
    <w:p>
      <w:pPr>
        <w:pStyle w:val="11"/>
        <w:widowControl/>
        <w:numPr>
          <w:ilvl w:val="0"/>
          <w:numId w:val="18"/>
        </w:numPr>
        <w:shd w:val="clear" w:color="auto" w:fill="FFFFFF"/>
        <w:tabs>
          <w:tab w:val="left" w:pos="0"/>
        </w:tabs>
        <w:spacing w:beforeAutospacing="0" w:afterAutospacing="0" w:line="360" w:lineRule="auto"/>
        <w:ind w:left="0" w:leftChars="0" w:right="0" w:rightChars="0" w:firstLine="600" w:firstLineChars="200"/>
        <w:jc w:val="both"/>
        <w:rPr>
          <w:rFonts w:hint="eastAsia" w:ascii="仿宋_GB2312" w:hAnsi="仿宋_GB2312" w:eastAsia="仿宋_GB2312" w:cs="仿宋_GB2312"/>
          <w:color w:val="auto"/>
          <w:sz w:val="30"/>
          <w:szCs w:val="30"/>
          <w:shd w:val="clear" w:color="auto" w:fill="auto"/>
          <w:lang w:val="en-US" w:eastAsia="zh-CN" w:bidi="ar"/>
        </w:rPr>
      </w:pPr>
      <w:r>
        <w:rPr>
          <w:rFonts w:hint="default" w:ascii="仿宋_GB2312" w:hAnsi="仿宋_GB2312" w:eastAsia="仿宋_GB2312" w:cs="仿宋_GB2312"/>
          <w:color w:val="auto"/>
          <w:sz w:val="30"/>
          <w:szCs w:val="30"/>
          <w:shd w:val="clear" w:color="auto" w:fill="auto"/>
          <w:lang w:val="en-US" w:eastAsia="zh-CN" w:bidi="ar"/>
        </w:rPr>
        <w:t>历史文化街区、名镇建设控制地带内的新建建筑物、构筑物，应当符合保护规划确定的建设控制要求</w:t>
      </w:r>
      <w:r>
        <w:rPr>
          <w:rFonts w:hint="eastAsia" w:ascii="仿宋_GB2312" w:hAnsi="仿宋_GB2312" w:eastAsia="仿宋_GB2312" w:cs="仿宋_GB2312"/>
          <w:color w:val="auto"/>
          <w:sz w:val="30"/>
          <w:szCs w:val="30"/>
          <w:shd w:val="clear" w:color="auto" w:fill="auto"/>
          <w:lang w:val="en-US" w:eastAsia="zh-CN" w:bidi="ar"/>
        </w:rPr>
        <w:t>。</w:t>
      </w:r>
    </w:p>
    <w:p>
      <w:pPr>
        <w:pStyle w:val="11"/>
        <w:widowControl/>
        <w:numPr>
          <w:ilvl w:val="1"/>
          <w:numId w:val="4"/>
        </w:numPr>
        <w:shd w:val="clear" w:color="auto" w:fill="FFFFFF"/>
        <w:spacing w:beforeAutospacing="0" w:afterAutospacing="0" w:line="360" w:lineRule="auto"/>
        <w:ind w:firstLine="600" w:firstLineChars="20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审批本条例第</w:t>
      </w:r>
      <w:r>
        <w:rPr>
          <w:rFonts w:hint="eastAsia" w:ascii="仿宋_GB2312" w:hAnsi="仿宋_GB2312" w:eastAsia="仿宋_GB2312" w:cs="仿宋_GB2312"/>
          <w:color w:val="auto"/>
          <w:sz w:val="30"/>
          <w:szCs w:val="30"/>
          <w:shd w:val="clear" w:color="auto" w:fill="auto"/>
          <w:lang w:eastAsia="zh-CN" w:bidi="ar"/>
        </w:rPr>
        <w:t>一百六十三</w:t>
      </w:r>
      <w:r>
        <w:rPr>
          <w:rFonts w:hint="default" w:ascii="仿宋_GB2312" w:hAnsi="仿宋_GB2312" w:eastAsia="仿宋_GB2312" w:cs="仿宋_GB2312"/>
          <w:color w:val="auto"/>
          <w:sz w:val="30"/>
          <w:szCs w:val="30"/>
          <w:shd w:val="clear" w:color="auto" w:fill="auto"/>
          <w:lang w:bidi="ar"/>
        </w:rPr>
        <w:t>条规定的建设活动，审批机关应当组织专家论证，并将审批事项予以公示，征求公众意见，告知</w:t>
      </w:r>
      <w:r>
        <w:rPr>
          <w:rFonts w:hint="default" w:ascii="仿宋_GB2312" w:hAnsi="仿宋_GB2312" w:eastAsia="仿宋_GB2312" w:cs="仿宋_GB2312"/>
          <w:color w:val="auto"/>
          <w:sz w:val="30"/>
          <w:szCs w:val="30"/>
          <w:shd w:val="clear" w:color="auto" w:fill="auto"/>
          <w:lang w:bidi="ar"/>
        </w:rPr>
        <w:fldChar w:fldCharType="begin"/>
      </w:r>
      <w:r>
        <w:rPr>
          <w:rFonts w:hint="default" w:ascii="仿宋_GB2312" w:hAnsi="仿宋_GB2312" w:eastAsia="仿宋_GB2312" w:cs="仿宋_GB2312"/>
          <w:color w:val="auto"/>
          <w:sz w:val="30"/>
          <w:szCs w:val="30"/>
          <w:shd w:val="clear" w:color="auto" w:fill="auto"/>
          <w:lang w:bidi="ar"/>
        </w:rPr>
        <w:instrText xml:space="preserve"> HYPERLINK "https://baike.sogou.com/lemma/ShowInnerLink.htm?lemmaId=7788662&amp;ss_c=ssc.citiao.link" \t "https://baike.sogou.com/_blank" </w:instrText>
      </w:r>
      <w:r>
        <w:rPr>
          <w:rFonts w:hint="default" w:ascii="仿宋_GB2312" w:hAnsi="仿宋_GB2312" w:eastAsia="仿宋_GB2312" w:cs="仿宋_GB2312"/>
          <w:color w:val="auto"/>
          <w:sz w:val="30"/>
          <w:szCs w:val="30"/>
          <w:shd w:val="clear" w:color="auto" w:fill="auto"/>
          <w:lang w:bidi="ar"/>
        </w:rPr>
        <w:fldChar w:fldCharType="separate"/>
      </w:r>
      <w:r>
        <w:rPr>
          <w:rFonts w:hint="default" w:ascii="仿宋_GB2312" w:hAnsi="仿宋_GB2312" w:eastAsia="仿宋_GB2312" w:cs="仿宋_GB2312"/>
          <w:color w:val="auto"/>
          <w:sz w:val="30"/>
          <w:szCs w:val="30"/>
          <w:shd w:val="clear" w:color="auto" w:fill="auto"/>
          <w:lang w:bidi="ar"/>
        </w:rPr>
        <w:t>利害关系人</w:t>
      </w:r>
      <w:r>
        <w:rPr>
          <w:rFonts w:hint="default" w:ascii="仿宋_GB2312" w:hAnsi="仿宋_GB2312" w:eastAsia="仿宋_GB2312" w:cs="仿宋_GB2312"/>
          <w:color w:val="auto"/>
          <w:sz w:val="30"/>
          <w:szCs w:val="30"/>
          <w:shd w:val="clear" w:color="auto" w:fill="auto"/>
          <w:lang w:bidi="ar"/>
        </w:rPr>
        <w:fldChar w:fldCharType="end"/>
      </w:r>
      <w:r>
        <w:rPr>
          <w:rFonts w:hint="default" w:ascii="仿宋_GB2312" w:hAnsi="仿宋_GB2312" w:eastAsia="仿宋_GB2312" w:cs="仿宋_GB2312"/>
          <w:color w:val="auto"/>
          <w:sz w:val="30"/>
          <w:szCs w:val="30"/>
          <w:shd w:val="clear" w:color="auto" w:fill="auto"/>
          <w:lang w:bidi="ar"/>
        </w:rPr>
        <w:t>有要求举行听证的权利。公示时间不得少于20日。</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利害关系人要求听证的，应当在公示期间提出，审批机关应</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当在公示期满后及时举行听证。</w:t>
      </w:r>
    </w:p>
    <w:p>
      <w:pPr>
        <w:pStyle w:val="11"/>
        <w:widowControl/>
        <w:numPr>
          <w:ilvl w:val="1"/>
          <w:numId w:val="4"/>
        </w:numPr>
        <w:shd w:val="clear" w:color="auto" w:fill="FFFFFF"/>
        <w:spacing w:beforeAutospacing="0" w:afterAutospacing="0" w:line="360" w:lineRule="auto"/>
        <w:ind w:firstLine="600" w:firstLineChars="20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建设工程选址，应当尽可能避开历史建筑；因特殊情况不能避开的，应当尽可能实施</w:t>
      </w:r>
      <w:r>
        <w:rPr>
          <w:rFonts w:hint="default" w:ascii="仿宋_GB2312" w:hAnsi="仿宋_GB2312" w:eastAsia="仿宋_GB2312" w:cs="仿宋_GB2312"/>
          <w:color w:val="auto"/>
          <w:sz w:val="30"/>
          <w:szCs w:val="30"/>
          <w:shd w:val="clear" w:color="auto" w:fill="auto"/>
          <w:lang w:bidi="ar"/>
        </w:rPr>
        <w:fldChar w:fldCharType="begin"/>
      </w:r>
      <w:r>
        <w:rPr>
          <w:rFonts w:hint="default" w:ascii="仿宋_GB2312" w:hAnsi="仿宋_GB2312" w:eastAsia="仿宋_GB2312" w:cs="仿宋_GB2312"/>
          <w:color w:val="auto"/>
          <w:sz w:val="30"/>
          <w:szCs w:val="30"/>
          <w:shd w:val="clear" w:color="auto" w:fill="auto"/>
          <w:lang w:bidi="ar"/>
        </w:rPr>
        <w:instrText xml:space="preserve"> HYPERLINK "https://baike.sogou.com/lemma/ShowInnerLink.htm?lemmaId=72887304&amp;ss_c=ssc.citiao.link" \t "https://baike.sogou.com/_blank" </w:instrText>
      </w:r>
      <w:r>
        <w:rPr>
          <w:rFonts w:hint="default" w:ascii="仿宋_GB2312" w:hAnsi="仿宋_GB2312" w:eastAsia="仿宋_GB2312" w:cs="仿宋_GB2312"/>
          <w:color w:val="auto"/>
          <w:sz w:val="30"/>
          <w:szCs w:val="30"/>
          <w:shd w:val="clear" w:color="auto" w:fill="auto"/>
          <w:lang w:bidi="ar"/>
        </w:rPr>
        <w:fldChar w:fldCharType="separate"/>
      </w:r>
      <w:r>
        <w:rPr>
          <w:rFonts w:hint="default" w:ascii="仿宋_GB2312" w:hAnsi="仿宋_GB2312" w:eastAsia="仿宋_GB2312" w:cs="仿宋_GB2312"/>
          <w:color w:val="auto"/>
          <w:sz w:val="30"/>
          <w:szCs w:val="30"/>
          <w:shd w:val="clear" w:color="auto" w:fill="auto"/>
          <w:lang w:bidi="ar"/>
        </w:rPr>
        <w:t>原址保护</w:t>
      </w:r>
      <w:r>
        <w:rPr>
          <w:rFonts w:hint="default" w:ascii="仿宋_GB2312" w:hAnsi="仿宋_GB2312" w:eastAsia="仿宋_GB2312" w:cs="仿宋_GB2312"/>
          <w:color w:val="auto"/>
          <w:sz w:val="30"/>
          <w:szCs w:val="30"/>
          <w:shd w:val="clear" w:color="auto" w:fill="auto"/>
          <w:lang w:bidi="ar"/>
        </w:rPr>
        <w:fldChar w:fldCharType="end"/>
      </w:r>
      <w:r>
        <w:rPr>
          <w:rFonts w:hint="default" w:ascii="仿宋_GB2312" w:hAnsi="仿宋_GB2312" w:eastAsia="仿宋_GB2312" w:cs="仿宋_GB2312"/>
          <w:color w:val="auto"/>
          <w:sz w:val="30"/>
          <w:szCs w:val="30"/>
          <w:shd w:val="clear" w:color="auto" w:fill="auto"/>
          <w:lang w:bidi="ar"/>
        </w:rPr>
        <w:t>。</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对历史建筑实施原址保护的，建设单位应当事先确定保护措</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施，报城市、县人民政府</w:t>
      </w:r>
      <w:r>
        <w:rPr>
          <w:rFonts w:hint="eastAsia" w:ascii="仿宋_GB2312" w:hAnsi="仿宋_GB2312" w:eastAsia="仿宋_GB2312" w:cs="仿宋_GB2312"/>
          <w:color w:val="auto"/>
          <w:sz w:val="30"/>
          <w:szCs w:val="30"/>
          <w:shd w:val="clear" w:color="auto" w:fill="auto"/>
          <w:lang w:eastAsia="zh-CN" w:bidi="ar"/>
        </w:rPr>
        <w:t>自然资源</w:t>
      </w:r>
      <w:r>
        <w:rPr>
          <w:rFonts w:hint="default" w:ascii="仿宋_GB2312" w:hAnsi="仿宋_GB2312" w:eastAsia="仿宋_GB2312" w:cs="仿宋_GB2312"/>
          <w:color w:val="auto"/>
          <w:sz w:val="30"/>
          <w:szCs w:val="30"/>
          <w:shd w:val="clear" w:color="auto" w:fill="auto"/>
          <w:lang w:bidi="ar"/>
        </w:rPr>
        <w:t>主管部门会同同级文物主管部门批准。</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因公共利益需要进行建设活动，对历史建筑无法实施原址保</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护、必须迁移异地保护或者拆除的，应当由城市、县人民政府</w:t>
      </w:r>
      <w:r>
        <w:rPr>
          <w:rFonts w:hint="eastAsia" w:ascii="仿宋_GB2312" w:hAnsi="仿宋_GB2312" w:eastAsia="仿宋_GB2312" w:cs="仿宋_GB2312"/>
          <w:color w:val="auto"/>
          <w:sz w:val="30"/>
          <w:szCs w:val="30"/>
          <w:shd w:val="clear" w:color="auto" w:fill="auto"/>
          <w:lang w:eastAsia="zh-CN" w:bidi="ar"/>
        </w:rPr>
        <w:t>自然资源</w:t>
      </w:r>
      <w:r>
        <w:rPr>
          <w:rFonts w:hint="default" w:ascii="仿宋_GB2312" w:hAnsi="仿宋_GB2312" w:eastAsia="仿宋_GB2312" w:cs="仿宋_GB2312"/>
          <w:color w:val="auto"/>
          <w:sz w:val="30"/>
          <w:szCs w:val="30"/>
          <w:shd w:val="clear" w:color="auto" w:fill="auto"/>
          <w:lang w:bidi="ar"/>
        </w:rPr>
        <w:t>主管部门会同同级文物主管部门，报省、自治区、直辖市人民政府确定的保护主管部门会同同级文物主管部门批准。</w:t>
      </w:r>
    </w:p>
    <w:p>
      <w:pPr>
        <w:pStyle w:val="11"/>
        <w:keepNext w:val="0"/>
        <w:keepLines w:val="0"/>
        <w:pageBreakBefore w:val="0"/>
        <w:widowControl/>
        <w:numPr>
          <w:ilvl w:val="0"/>
          <w:numId w:val="0"/>
        </w:numPr>
        <w:shd w:val="clear" w:color="auto" w:fill="FFFFFF"/>
        <w:tabs>
          <w:tab w:val="left" w:pos="0"/>
        </w:tabs>
        <w:kinsoku/>
        <w:wordWrap/>
        <w:overflowPunct/>
        <w:topLinePunct w:val="0"/>
        <w:autoSpaceDE/>
        <w:autoSpaceDN/>
        <w:bidi w:val="0"/>
        <w:adjustRightInd/>
        <w:snapToGrid/>
        <w:spacing w:beforeAutospacing="0" w:afterAutospacing="0" w:line="360" w:lineRule="auto"/>
        <w:ind w:leftChars="0" w:right="0" w:rightChars="0" w:firstLine="600" w:firstLineChars="200"/>
        <w:jc w:val="both"/>
        <w:textAlignment w:val="auto"/>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本条规定的历史建筑原址保护、迁移、拆除所需费用，由建</w:t>
      </w:r>
    </w:p>
    <w:p>
      <w:pPr>
        <w:pStyle w:val="11"/>
        <w:widowControl/>
        <w:numPr>
          <w:ilvl w:val="0"/>
          <w:numId w:val="0"/>
        </w:numPr>
        <w:shd w:val="clear" w:color="auto" w:fill="FFFFFF"/>
        <w:tabs>
          <w:tab w:val="left" w:pos="0"/>
        </w:tabs>
        <w:spacing w:beforeAutospacing="0" w:afterAutospacing="0" w:line="360" w:lineRule="auto"/>
        <w:ind w:right="0" w:rightChars="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设单位列入建设工程预算。</w:t>
      </w:r>
    </w:p>
    <w:p>
      <w:pPr>
        <w:pStyle w:val="11"/>
        <w:widowControl/>
        <w:numPr>
          <w:ilvl w:val="1"/>
          <w:numId w:val="4"/>
        </w:numPr>
        <w:shd w:val="clear" w:color="auto" w:fill="FFFFFF"/>
        <w:spacing w:beforeAutospacing="0" w:afterAutospacing="0" w:line="360" w:lineRule="auto"/>
        <w:ind w:firstLine="600" w:firstLineChars="200"/>
        <w:jc w:val="both"/>
        <w:rPr>
          <w:rFonts w:hint="default" w:ascii="仿宋_GB2312" w:hAnsi="仿宋_GB2312" w:eastAsia="仿宋_GB2312" w:cs="仿宋_GB2312"/>
          <w:color w:val="auto"/>
          <w:sz w:val="30"/>
          <w:szCs w:val="30"/>
          <w:shd w:val="clear" w:color="auto" w:fill="auto"/>
          <w:lang w:bidi="ar"/>
        </w:rPr>
      </w:pPr>
      <w:r>
        <w:rPr>
          <w:rFonts w:hint="default" w:ascii="仿宋_GB2312" w:hAnsi="仿宋_GB2312" w:eastAsia="仿宋_GB2312" w:cs="仿宋_GB2312"/>
          <w:color w:val="auto"/>
          <w:sz w:val="30"/>
          <w:szCs w:val="30"/>
          <w:shd w:val="clear" w:color="auto" w:fill="auto"/>
          <w:lang w:bidi="ar"/>
        </w:rPr>
        <w:t>对历史建筑进行外部修缮装饰、添加设施以及改变历史建筑的结构或者使用性质的，应当经城市、县人民政府</w:t>
      </w:r>
      <w:r>
        <w:rPr>
          <w:rFonts w:hint="eastAsia" w:ascii="仿宋_GB2312" w:hAnsi="仿宋_GB2312" w:eastAsia="仿宋_GB2312" w:cs="仿宋_GB2312"/>
          <w:color w:val="auto"/>
          <w:sz w:val="30"/>
          <w:szCs w:val="30"/>
          <w:shd w:val="clear" w:color="auto" w:fill="auto"/>
          <w:lang w:eastAsia="zh-CN" w:bidi="ar"/>
        </w:rPr>
        <w:t>自然资源</w:t>
      </w:r>
      <w:r>
        <w:rPr>
          <w:rFonts w:hint="default" w:ascii="仿宋_GB2312" w:hAnsi="仿宋_GB2312" w:eastAsia="仿宋_GB2312" w:cs="仿宋_GB2312"/>
          <w:color w:val="auto"/>
          <w:sz w:val="30"/>
          <w:szCs w:val="30"/>
          <w:shd w:val="clear" w:color="auto" w:fill="auto"/>
          <w:lang w:bidi="ar"/>
        </w:rPr>
        <w:t>主管部门会同同级文物主管部门批准，并依照有关法律、法规的规定办理相关手续。</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p>
    <w:p>
      <w:pPr>
        <w:pStyle w:val="2"/>
        <w:numPr>
          <w:ilvl w:val="0"/>
          <w:numId w:val="3"/>
        </w:numPr>
        <w:spacing w:line="360" w:lineRule="auto"/>
        <w:ind w:firstLine="723" w:firstLineChars="200"/>
        <w:jc w:val="center"/>
        <w:rPr>
          <w:rFonts w:hint="default"/>
          <w:color w:val="auto"/>
          <w:sz w:val="36"/>
          <w:szCs w:val="36"/>
          <w:shd w:val="clear" w:color="auto" w:fill="auto"/>
          <w:lang w:val="zh-CN"/>
        </w:rPr>
      </w:pPr>
      <w:bookmarkStart w:id="47" w:name="_Toc32087"/>
      <w:r>
        <w:rPr>
          <w:rFonts w:hint="eastAsia"/>
          <w:color w:val="auto"/>
          <w:sz w:val="36"/>
          <w:szCs w:val="36"/>
          <w:shd w:val="clear" w:color="auto" w:fill="auto"/>
          <w:lang w:val="en-US" w:eastAsia="zh-CN"/>
        </w:rPr>
        <w:t xml:space="preserve"> </w:t>
      </w:r>
      <w:bookmarkEnd w:id="47"/>
      <w:bookmarkStart w:id="48" w:name="_Toc15380"/>
      <w:r>
        <w:rPr>
          <w:color w:val="auto"/>
          <w:sz w:val="36"/>
          <w:szCs w:val="36"/>
          <w:shd w:val="clear" w:color="auto" w:fill="auto"/>
          <w:lang w:val="zh-CN"/>
        </w:rPr>
        <w:t>镇规划管理</w:t>
      </w:r>
      <w:bookmarkEnd w:id="48"/>
    </w:p>
    <w:p>
      <w:pPr>
        <w:pStyle w:val="3"/>
        <w:spacing w:before="156" w:beforeLines="50" w:after="0" w:line="240" w:lineRule="auto"/>
        <w:jc w:val="center"/>
        <w:rPr>
          <w:rFonts w:hint="eastAsia"/>
          <w:b w:val="0"/>
          <w:bCs/>
          <w:color w:val="auto"/>
          <w:shd w:val="clear" w:color="auto" w:fill="auto"/>
          <w:lang w:val="zh-CN"/>
        </w:rPr>
      </w:pPr>
      <w:bookmarkStart w:id="49" w:name="_Toc1506"/>
      <w:bookmarkEnd w:id="49"/>
      <w:bookmarkStart w:id="50" w:name="_Toc459149121"/>
      <w:bookmarkEnd w:id="50"/>
      <w:bookmarkStart w:id="51" w:name="_Toc23163"/>
      <w:r>
        <w:rPr>
          <w:rFonts w:hint="eastAsia"/>
          <w:b w:val="0"/>
          <w:bCs/>
          <w:color w:val="auto"/>
          <w:shd w:val="clear" w:color="auto" w:fill="auto"/>
          <w:lang w:val="zh-CN"/>
        </w:rPr>
        <w:t>第一节  建筑管理</w:t>
      </w:r>
      <w:bookmarkEnd w:id="51"/>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建筑容量控制</w:t>
      </w:r>
    </w:p>
    <w:p>
      <w:pPr>
        <w:pStyle w:val="11"/>
        <w:widowControl/>
        <w:shd w:val="clear" w:color="auto" w:fill="FFFFFF"/>
        <w:tabs>
          <w:tab w:val="left" w:pos="0"/>
        </w:tabs>
        <w:spacing w:beforeAutospacing="0" w:afterAutospacing="0" w:line="360" w:lineRule="auto"/>
        <w:ind w:firstLine="600" w:firstLineChars="200"/>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镇区居住建筑层数不宜大于6层，建筑密度不宜大于30%。</w:t>
      </w:r>
    </w:p>
    <w:p>
      <w:pPr>
        <w:pStyle w:val="11"/>
        <w:widowControl/>
        <w:shd w:val="clear" w:color="auto" w:fill="FFFFFF"/>
        <w:tabs>
          <w:tab w:val="left" w:pos="0"/>
        </w:tabs>
        <w:spacing w:beforeAutospacing="0" w:afterAutospacing="0" w:line="360" w:lineRule="auto"/>
        <w:ind w:firstLine="600" w:firstLineChars="200"/>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镇区商业服务业建筑层数不宜大于11层，建筑密度不宜大于50%。</w:t>
      </w:r>
    </w:p>
    <w:p>
      <w:pPr>
        <w:pStyle w:val="11"/>
        <w:widowControl/>
        <w:shd w:val="clear" w:color="auto" w:fill="FFFFFF"/>
        <w:spacing w:beforeAutospacing="0" w:afterAutospacing="0" w:line="360" w:lineRule="auto"/>
        <w:ind w:firstLine="480" w:firstLineChars="200"/>
        <w:rPr>
          <w:rFonts w:ascii="仿宋_GB2312" w:hAnsi="仿宋_GB2312" w:eastAsia="仿宋_GB2312" w:cs="仿宋_GB2312"/>
          <w:color w:val="auto"/>
          <w:shd w:val="clear" w:color="auto" w:fill="auto"/>
        </w:rPr>
      </w:pPr>
      <w:r>
        <w:rPr>
          <w:rFonts w:hint="eastAsia" w:ascii="仿宋_GB2312" w:hAnsi="仿宋_GB2312" w:eastAsia="仿宋_GB2312" w:cs="仿宋_GB2312"/>
          <w:color w:val="auto"/>
          <w:shd w:val="clear" w:color="auto" w:fill="auto"/>
        </w:rPr>
        <w:t>（注：特殊区域，如镇区核心区商业服务业建筑层数以批准的</w:t>
      </w:r>
      <w:r>
        <w:rPr>
          <w:rFonts w:hint="eastAsia" w:ascii="仿宋_GB2312" w:hAnsi="仿宋_GB2312" w:eastAsia="仿宋_GB2312" w:cs="仿宋_GB2312"/>
          <w:color w:val="auto"/>
          <w:shd w:val="clear" w:color="auto" w:fill="auto"/>
          <w:lang w:eastAsia="zh-CN"/>
        </w:rPr>
        <w:t>详细规划</w:t>
      </w:r>
      <w:r>
        <w:rPr>
          <w:rFonts w:hint="eastAsia" w:ascii="仿宋_GB2312" w:hAnsi="仿宋_GB2312" w:eastAsia="仿宋_GB2312" w:cs="仿宋_GB2312"/>
          <w:color w:val="auto"/>
          <w:shd w:val="clear" w:color="auto" w:fill="auto"/>
        </w:rPr>
        <w:t>为准）</w:t>
      </w:r>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建筑间距控制</w:t>
      </w:r>
    </w:p>
    <w:p>
      <w:pPr>
        <w:pStyle w:val="11"/>
        <w:widowControl/>
        <w:shd w:val="clear" w:color="auto" w:fill="FFFFFF"/>
        <w:tabs>
          <w:tab w:val="left" w:pos="0"/>
        </w:tabs>
        <w:spacing w:beforeAutospacing="0" w:afterAutospacing="0" w:line="360" w:lineRule="auto"/>
        <w:ind w:firstLine="600" w:firstLineChars="200"/>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建筑间距应满足日照、消防、卫生、环保、防灾、交通需求、工程管线埋设、建筑物保护、空间环境等方面的规范，可参考城市相关标准执行。</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当建筑层数为1-6层：建筑主要朝向建筑间距按1.2H(H为南侧建筑高度）控制，且≥6米；次要朝向建筑间距≥6米；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当建筑层数为大于6层：建筑主要朝向建筑间距按1.1H(H为南侧建筑高度）控制，且≥6米；次要朝向建筑间距≥6米。</w:t>
      </w:r>
    </w:p>
    <w:p>
      <w:pPr>
        <w:pStyle w:val="11"/>
        <w:widowControl/>
        <w:numPr>
          <w:ilvl w:val="1"/>
          <w:numId w:val="4"/>
        </w:numPr>
        <w:shd w:val="clear" w:color="auto" w:fill="FFFFFF"/>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镇建筑退界</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建筑退让道路红线大于等于9米的道路，不宜小于3米；退让小于9米的巷道、村道不宜小于1.5米。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各类建筑后退绿线应满足以下规定：纯居住建筑后退规划绿地不小于3.0米；其他建筑后退规划绿地不小于5.0米。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禁止在公路、</w:t>
      </w:r>
      <w:r>
        <w:rPr>
          <w:rFonts w:ascii="仿宋" w:hAnsi="仿宋" w:eastAsia="仿宋" w:cs="仿宋"/>
          <w:color w:val="auto"/>
          <w:sz w:val="30"/>
          <w:szCs w:val="30"/>
          <w:shd w:val="clear" w:color="auto" w:fill="auto"/>
          <w:lang w:bidi="ar"/>
        </w:rPr>
        <w:t>铁路两侧</w:t>
      </w:r>
      <w:r>
        <w:rPr>
          <w:rFonts w:hint="eastAsia" w:ascii="仿宋" w:hAnsi="仿宋" w:eastAsia="仿宋" w:cs="仿宋"/>
          <w:color w:val="auto"/>
          <w:sz w:val="30"/>
          <w:szCs w:val="30"/>
          <w:shd w:val="clear" w:color="auto" w:fill="auto"/>
          <w:lang w:bidi="ar"/>
        </w:rPr>
        <w:t>和</w:t>
      </w:r>
      <w:r>
        <w:rPr>
          <w:rFonts w:ascii="仿宋" w:hAnsi="仿宋" w:eastAsia="仿宋" w:cs="仿宋"/>
          <w:color w:val="auto"/>
          <w:sz w:val="30"/>
          <w:szCs w:val="30"/>
          <w:shd w:val="clear" w:color="auto" w:fill="auto"/>
          <w:lang w:bidi="ar"/>
        </w:rPr>
        <w:t>机场周边</w:t>
      </w:r>
      <w:r>
        <w:rPr>
          <w:rFonts w:hint="eastAsia" w:ascii="仿宋" w:hAnsi="仿宋" w:eastAsia="仿宋" w:cs="仿宋"/>
          <w:color w:val="auto"/>
          <w:sz w:val="30"/>
          <w:szCs w:val="30"/>
          <w:shd w:val="clear" w:color="auto" w:fill="auto"/>
          <w:lang w:bidi="ar"/>
        </w:rPr>
        <w:t>建筑</w:t>
      </w:r>
      <w:r>
        <w:rPr>
          <w:rFonts w:ascii="仿宋" w:hAnsi="仿宋" w:eastAsia="仿宋" w:cs="仿宋"/>
          <w:color w:val="auto"/>
          <w:sz w:val="30"/>
          <w:szCs w:val="30"/>
          <w:shd w:val="clear" w:color="auto" w:fill="auto"/>
          <w:lang w:bidi="ar"/>
        </w:rPr>
        <w:t>控制</w:t>
      </w:r>
      <w:r>
        <w:rPr>
          <w:rFonts w:hint="eastAsia" w:ascii="仿宋" w:hAnsi="仿宋" w:eastAsia="仿宋" w:cs="仿宋"/>
          <w:color w:val="auto"/>
          <w:sz w:val="30"/>
          <w:szCs w:val="30"/>
          <w:shd w:val="clear" w:color="auto" w:fill="auto"/>
          <w:lang w:bidi="ar"/>
        </w:rPr>
        <w:t>区建设</w:t>
      </w:r>
      <w:r>
        <w:rPr>
          <w:rFonts w:ascii="仿宋" w:hAnsi="仿宋" w:eastAsia="仿宋" w:cs="仿宋"/>
          <w:color w:val="auto"/>
          <w:sz w:val="30"/>
          <w:szCs w:val="30"/>
          <w:shd w:val="clear" w:color="auto" w:fill="auto"/>
          <w:lang w:bidi="ar"/>
        </w:rPr>
        <w:t>住房</w:t>
      </w:r>
      <w:r>
        <w:rPr>
          <w:rFonts w:hint="eastAsia" w:ascii="仿宋" w:hAnsi="仿宋" w:eastAsia="仿宋" w:cs="仿宋"/>
          <w:color w:val="auto"/>
          <w:sz w:val="30"/>
          <w:szCs w:val="30"/>
          <w:shd w:val="clear" w:color="auto" w:fill="auto"/>
          <w:lang w:bidi="ar"/>
        </w:rPr>
        <w:t>。（在</w:t>
      </w:r>
      <w:r>
        <w:rPr>
          <w:rFonts w:ascii="仿宋" w:hAnsi="仿宋" w:eastAsia="仿宋" w:cs="仿宋"/>
          <w:color w:val="auto"/>
          <w:sz w:val="30"/>
          <w:szCs w:val="30"/>
          <w:shd w:val="clear" w:color="auto" w:fill="auto"/>
          <w:lang w:bidi="ar"/>
        </w:rPr>
        <w:t>公路沿线建房的</w:t>
      </w:r>
      <w:r>
        <w:rPr>
          <w:rFonts w:hint="eastAsia" w:ascii="仿宋" w:hAnsi="仿宋" w:eastAsia="仿宋" w:cs="仿宋"/>
          <w:color w:val="auto"/>
          <w:sz w:val="30"/>
          <w:szCs w:val="30"/>
          <w:shd w:val="clear" w:color="auto" w:fill="auto"/>
          <w:lang w:bidi="ar"/>
        </w:rPr>
        <w:t>，</w:t>
      </w:r>
      <w:r>
        <w:rPr>
          <w:rFonts w:ascii="仿宋" w:hAnsi="仿宋" w:eastAsia="仿宋" w:cs="仿宋"/>
          <w:color w:val="auto"/>
          <w:sz w:val="30"/>
          <w:szCs w:val="30"/>
          <w:shd w:val="clear" w:color="auto" w:fill="auto"/>
          <w:lang w:bidi="ar"/>
        </w:rPr>
        <w:t>其建筑</w:t>
      </w:r>
      <w:r>
        <w:rPr>
          <w:rFonts w:hint="eastAsia" w:ascii="仿宋" w:hAnsi="仿宋" w:eastAsia="仿宋" w:cs="仿宋"/>
          <w:color w:val="auto"/>
          <w:sz w:val="30"/>
          <w:szCs w:val="30"/>
          <w:shd w:val="clear" w:color="auto" w:fill="auto"/>
          <w:lang w:bidi="ar"/>
        </w:rPr>
        <w:t>边缘与公路用地</w:t>
      </w:r>
      <w:r>
        <w:rPr>
          <w:rFonts w:ascii="仿宋" w:hAnsi="仿宋" w:eastAsia="仿宋" w:cs="仿宋"/>
          <w:color w:val="auto"/>
          <w:sz w:val="30"/>
          <w:szCs w:val="30"/>
          <w:shd w:val="clear" w:color="auto" w:fill="auto"/>
          <w:lang w:bidi="ar"/>
        </w:rPr>
        <w:t>外边缘</w:t>
      </w:r>
      <w:r>
        <w:rPr>
          <w:rFonts w:hint="eastAsia" w:ascii="仿宋" w:hAnsi="仿宋" w:eastAsia="仿宋" w:cs="仿宋"/>
          <w:color w:val="auto"/>
          <w:sz w:val="30"/>
          <w:szCs w:val="30"/>
          <w:shd w:val="clear" w:color="auto" w:fill="auto"/>
          <w:lang w:bidi="ar"/>
        </w:rPr>
        <w:t>的</w:t>
      </w:r>
      <w:r>
        <w:rPr>
          <w:rFonts w:ascii="仿宋" w:hAnsi="仿宋" w:eastAsia="仿宋" w:cs="仿宋"/>
          <w:color w:val="auto"/>
          <w:sz w:val="30"/>
          <w:szCs w:val="30"/>
          <w:shd w:val="clear" w:color="auto" w:fill="auto"/>
          <w:lang w:bidi="ar"/>
        </w:rPr>
        <w:t>间距为</w:t>
      </w:r>
      <w:r>
        <w:rPr>
          <w:rFonts w:hint="eastAsia" w:ascii="仿宋" w:hAnsi="仿宋" w:eastAsia="仿宋" w:cs="仿宋"/>
          <w:color w:val="auto"/>
          <w:sz w:val="30"/>
          <w:szCs w:val="30"/>
          <w:shd w:val="clear" w:color="auto" w:fill="auto"/>
          <w:lang w:bidi="ar"/>
        </w:rPr>
        <w:t>：</w:t>
      </w:r>
      <w:r>
        <w:rPr>
          <w:rFonts w:ascii="仿宋" w:hAnsi="仿宋" w:eastAsia="仿宋" w:cs="仿宋"/>
          <w:color w:val="auto"/>
          <w:sz w:val="30"/>
          <w:szCs w:val="30"/>
          <w:shd w:val="clear" w:color="auto" w:fill="auto"/>
          <w:lang w:bidi="ar"/>
        </w:rPr>
        <w:t>国道</w:t>
      </w:r>
      <w:r>
        <w:rPr>
          <w:rFonts w:hint="eastAsia" w:ascii="仿宋" w:hAnsi="仿宋" w:eastAsia="仿宋" w:cs="仿宋"/>
          <w:color w:val="auto"/>
          <w:sz w:val="30"/>
          <w:szCs w:val="30"/>
          <w:shd w:val="clear" w:color="auto" w:fill="auto"/>
          <w:lang w:bidi="ar"/>
        </w:rPr>
        <w:t>不少于20米；</w:t>
      </w:r>
      <w:r>
        <w:rPr>
          <w:rFonts w:ascii="仿宋" w:hAnsi="仿宋" w:eastAsia="仿宋" w:cs="仿宋"/>
          <w:color w:val="auto"/>
          <w:sz w:val="30"/>
          <w:szCs w:val="30"/>
          <w:shd w:val="clear" w:color="auto" w:fill="auto"/>
          <w:lang w:bidi="ar"/>
        </w:rPr>
        <w:t>省道不少于</w:t>
      </w:r>
      <w:r>
        <w:rPr>
          <w:rFonts w:hint="eastAsia" w:ascii="仿宋" w:hAnsi="仿宋" w:eastAsia="仿宋" w:cs="仿宋"/>
          <w:color w:val="auto"/>
          <w:sz w:val="30"/>
          <w:szCs w:val="30"/>
          <w:shd w:val="clear" w:color="auto" w:fill="auto"/>
          <w:lang w:bidi="ar"/>
        </w:rPr>
        <w:t>15米</w:t>
      </w:r>
      <w:r>
        <w:rPr>
          <w:rFonts w:ascii="仿宋" w:hAnsi="仿宋" w:eastAsia="仿宋" w:cs="仿宋"/>
          <w:color w:val="auto"/>
          <w:sz w:val="30"/>
          <w:szCs w:val="30"/>
          <w:shd w:val="clear" w:color="auto" w:fill="auto"/>
          <w:lang w:bidi="ar"/>
        </w:rPr>
        <w:t>；县道不少于</w:t>
      </w:r>
      <w:r>
        <w:rPr>
          <w:rFonts w:hint="eastAsia" w:ascii="仿宋" w:hAnsi="仿宋" w:eastAsia="仿宋" w:cs="仿宋"/>
          <w:color w:val="auto"/>
          <w:sz w:val="30"/>
          <w:szCs w:val="30"/>
          <w:shd w:val="clear" w:color="auto" w:fill="auto"/>
          <w:lang w:bidi="ar"/>
        </w:rPr>
        <w:t>10米</w:t>
      </w:r>
      <w:r>
        <w:rPr>
          <w:rFonts w:ascii="仿宋" w:hAnsi="仿宋" w:eastAsia="仿宋" w:cs="仿宋"/>
          <w:color w:val="auto"/>
          <w:sz w:val="30"/>
          <w:szCs w:val="30"/>
          <w:shd w:val="clear" w:color="auto" w:fill="auto"/>
          <w:lang w:bidi="ar"/>
        </w:rPr>
        <w:t>；</w:t>
      </w:r>
      <w:r>
        <w:rPr>
          <w:rFonts w:hint="eastAsia" w:ascii="仿宋" w:hAnsi="仿宋" w:eastAsia="仿宋" w:cs="仿宋"/>
          <w:color w:val="auto"/>
          <w:sz w:val="30"/>
          <w:szCs w:val="30"/>
          <w:shd w:val="clear" w:color="auto" w:fill="auto"/>
          <w:lang w:bidi="ar"/>
        </w:rPr>
        <w:t>乡道</w:t>
      </w:r>
      <w:r>
        <w:rPr>
          <w:rFonts w:ascii="仿宋" w:hAnsi="仿宋" w:eastAsia="仿宋" w:cs="仿宋"/>
          <w:color w:val="auto"/>
          <w:sz w:val="30"/>
          <w:szCs w:val="30"/>
          <w:shd w:val="clear" w:color="auto" w:fill="auto"/>
          <w:lang w:bidi="ar"/>
        </w:rPr>
        <w:t>不少于</w:t>
      </w:r>
      <w:r>
        <w:rPr>
          <w:rFonts w:hint="eastAsia" w:ascii="仿宋" w:hAnsi="仿宋" w:eastAsia="仿宋" w:cs="仿宋"/>
          <w:color w:val="auto"/>
          <w:sz w:val="30"/>
          <w:szCs w:val="30"/>
          <w:shd w:val="clear" w:color="auto" w:fill="auto"/>
          <w:lang w:bidi="ar"/>
        </w:rPr>
        <w:t>5米</w:t>
      </w:r>
      <w:r>
        <w:rPr>
          <w:rFonts w:ascii="仿宋" w:hAnsi="仿宋" w:eastAsia="仿宋" w:cs="仿宋"/>
          <w:color w:val="auto"/>
          <w:sz w:val="30"/>
          <w:szCs w:val="30"/>
          <w:shd w:val="clear" w:color="auto" w:fill="auto"/>
          <w:lang w:bidi="ar"/>
        </w:rPr>
        <w:t>。</w:t>
      </w:r>
      <w:r>
        <w:rPr>
          <w:rFonts w:hint="eastAsia" w:ascii="仿宋" w:hAnsi="仿宋" w:eastAsia="仿宋" w:cs="仿宋"/>
          <w:color w:val="auto"/>
          <w:sz w:val="30"/>
          <w:szCs w:val="30"/>
          <w:shd w:val="clear" w:color="auto" w:fill="auto"/>
          <w:lang w:bidi="ar"/>
        </w:rPr>
        <w:t>在</w:t>
      </w:r>
      <w:r>
        <w:rPr>
          <w:rFonts w:ascii="仿宋" w:hAnsi="仿宋" w:eastAsia="仿宋" w:cs="仿宋"/>
          <w:color w:val="auto"/>
          <w:sz w:val="30"/>
          <w:szCs w:val="30"/>
          <w:shd w:val="clear" w:color="auto" w:fill="auto"/>
          <w:lang w:bidi="ar"/>
        </w:rPr>
        <w:t>高速公路</w:t>
      </w:r>
      <w:r>
        <w:rPr>
          <w:rFonts w:hint="eastAsia" w:ascii="仿宋" w:hAnsi="仿宋" w:eastAsia="仿宋" w:cs="仿宋"/>
          <w:color w:val="auto"/>
          <w:sz w:val="30"/>
          <w:szCs w:val="30"/>
          <w:shd w:val="clear" w:color="auto" w:fill="auto"/>
          <w:lang w:bidi="ar"/>
        </w:rPr>
        <w:t>沿线建房</w:t>
      </w:r>
      <w:r>
        <w:rPr>
          <w:rFonts w:ascii="仿宋" w:hAnsi="仿宋" w:eastAsia="仿宋" w:cs="仿宋"/>
          <w:color w:val="auto"/>
          <w:sz w:val="30"/>
          <w:szCs w:val="30"/>
          <w:shd w:val="clear" w:color="auto" w:fill="auto"/>
          <w:lang w:bidi="ar"/>
        </w:rPr>
        <w:t>的</w:t>
      </w:r>
      <w:r>
        <w:rPr>
          <w:rFonts w:hint="eastAsia" w:ascii="仿宋" w:hAnsi="仿宋" w:eastAsia="仿宋" w:cs="仿宋"/>
          <w:color w:val="auto"/>
          <w:sz w:val="30"/>
          <w:szCs w:val="30"/>
          <w:shd w:val="clear" w:color="auto" w:fill="auto"/>
          <w:lang w:bidi="ar"/>
        </w:rPr>
        <w:t>，</w:t>
      </w:r>
      <w:r>
        <w:rPr>
          <w:rFonts w:ascii="仿宋" w:hAnsi="仿宋" w:eastAsia="仿宋" w:cs="仿宋"/>
          <w:color w:val="auto"/>
          <w:sz w:val="30"/>
          <w:szCs w:val="30"/>
          <w:shd w:val="clear" w:color="auto" w:fill="auto"/>
          <w:lang w:bidi="ar"/>
        </w:rPr>
        <w:t>其房屋</w:t>
      </w:r>
      <w:r>
        <w:rPr>
          <w:rFonts w:hint="eastAsia" w:ascii="仿宋" w:hAnsi="仿宋" w:eastAsia="仿宋" w:cs="仿宋"/>
          <w:color w:val="auto"/>
          <w:sz w:val="30"/>
          <w:szCs w:val="30"/>
          <w:shd w:val="clear" w:color="auto" w:fill="auto"/>
          <w:lang w:bidi="ar"/>
        </w:rPr>
        <w:t>边缘</w:t>
      </w:r>
      <w:r>
        <w:rPr>
          <w:rFonts w:ascii="仿宋" w:hAnsi="仿宋" w:eastAsia="仿宋" w:cs="仿宋"/>
          <w:color w:val="auto"/>
          <w:sz w:val="30"/>
          <w:szCs w:val="30"/>
          <w:shd w:val="clear" w:color="auto" w:fill="auto"/>
          <w:lang w:bidi="ar"/>
        </w:rPr>
        <w:t>与高速公路</w:t>
      </w:r>
      <w:r>
        <w:rPr>
          <w:rFonts w:hint="eastAsia" w:ascii="仿宋" w:hAnsi="仿宋" w:eastAsia="仿宋" w:cs="仿宋"/>
          <w:color w:val="auto"/>
          <w:sz w:val="30"/>
          <w:szCs w:val="30"/>
          <w:shd w:val="clear" w:color="auto" w:fill="auto"/>
          <w:lang w:bidi="ar"/>
        </w:rPr>
        <w:t>隔离</w:t>
      </w:r>
      <w:r>
        <w:rPr>
          <w:rFonts w:ascii="仿宋" w:hAnsi="仿宋" w:eastAsia="仿宋" w:cs="仿宋"/>
          <w:color w:val="auto"/>
          <w:sz w:val="30"/>
          <w:szCs w:val="30"/>
          <w:shd w:val="clear" w:color="auto" w:fill="auto"/>
          <w:lang w:bidi="ar"/>
        </w:rPr>
        <w:t>栅栏</w:t>
      </w:r>
      <w:r>
        <w:rPr>
          <w:rFonts w:hint="eastAsia" w:ascii="仿宋" w:hAnsi="仿宋" w:eastAsia="仿宋" w:cs="仿宋"/>
          <w:color w:val="auto"/>
          <w:sz w:val="30"/>
          <w:szCs w:val="30"/>
          <w:shd w:val="clear" w:color="auto" w:fill="auto"/>
          <w:lang w:bidi="ar"/>
        </w:rPr>
        <w:t>的间距</w:t>
      </w:r>
      <w:r>
        <w:rPr>
          <w:rFonts w:ascii="仿宋" w:hAnsi="仿宋" w:eastAsia="仿宋" w:cs="仿宋"/>
          <w:color w:val="auto"/>
          <w:sz w:val="30"/>
          <w:szCs w:val="30"/>
          <w:shd w:val="clear" w:color="auto" w:fill="auto"/>
          <w:lang w:bidi="ar"/>
        </w:rPr>
        <w:t>不少于</w:t>
      </w:r>
      <w:r>
        <w:rPr>
          <w:rFonts w:hint="eastAsia" w:ascii="仿宋" w:hAnsi="仿宋" w:eastAsia="仿宋" w:cs="仿宋"/>
          <w:color w:val="auto"/>
          <w:sz w:val="30"/>
          <w:szCs w:val="30"/>
          <w:shd w:val="clear" w:color="auto" w:fill="auto"/>
          <w:lang w:bidi="ar"/>
        </w:rPr>
        <w:t>30米。</w:t>
      </w:r>
      <w:r>
        <w:rPr>
          <w:rFonts w:ascii="仿宋" w:hAnsi="仿宋" w:eastAsia="仿宋" w:cs="仿宋"/>
          <w:color w:val="auto"/>
          <w:sz w:val="30"/>
          <w:szCs w:val="30"/>
          <w:shd w:val="clear" w:color="auto" w:fill="auto"/>
          <w:lang w:bidi="ar"/>
        </w:rPr>
        <w:t>在</w:t>
      </w:r>
      <w:r>
        <w:rPr>
          <w:rFonts w:hint="eastAsia" w:ascii="仿宋" w:hAnsi="仿宋" w:eastAsia="仿宋" w:cs="仿宋"/>
          <w:color w:val="auto"/>
          <w:sz w:val="30"/>
          <w:szCs w:val="30"/>
          <w:shd w:val="clear" w:color="auto" w:fill="auto"/>
          <w:lang w:bidi="ar"/>
        </w:rPr>
        <w:t>铁路线路</w:t>
      </w:r>
      <w:r>
        <w:rPr>
          <w:rFonts w:ascii="仿宋" w:hAnsi="仿宋" w:eastAsia="仿宋" w:cs="仿宋"/>
          <w:color w:val="auto"/>
          <w:sz w:val="30"/>
          <w:szCs w:val="30"/>
          <w:shd w:val="clear" w:color="auto" w:fill="auto"/>
          <w:lang w:bidi="ar"/>
        </w:rPr>
        <w:t>安全</w:t>
      </w:r>
      <w:r>
        <w:rPr>
          <w:rFonts w:hint="eastAsia" w:ascii="仿宋" w:hAnsi="仿宋" w:eastAsia="仿宋" w:cs="仿宋"/>
          <w:color w:val="auto"/>
          <w:sz w:val="30"/>
          <w:szCs w:val="30"/>
          <w:shd w:val="clear" w:color="auto" w:fill="auto"/>
          <w:lang w:bidi="ar"/>
        </w:rPr>
        <w:t>保护区</w:t>
      </w:r>
      <w:r>
        <w:rPr>
          <w:rFonts w:ascii="仿宋" w:hAnsi="仿宋" w:eastAsia="仿宋" w:cs="仿宋"/>
          <w:color w:val="auto"/>
          <w:sz w:val="30"/>
          <w:szCs w:val="30"/>
          <w:shd w:val="clear" w:color="auto" w:fill="auto"/>
          <w:lang w:bidi="ar"/>
        </w:rPr>
        <w:t>范围内</w:t>
      </w:r>
      <w:r>
        <w:rPr>
          <w:rFonts w:hint="eastAsia" w:ascii="仿宋" w:hAnsi="仿宋" w:eastAsia="仿宋" w:cs="仿宋"/>
          <w:color w:val="auto"/>
          <w:sz w:val="30"/>
          <w:szCs w:val="30"/>
          <w:shd w:val="clear" w:color="auto" w:fill="auto"/>
          <w:lang w:bidi="ar"/>
        </w:rPr>
        <w:t>、</w:t>
      </w:r>
      <w:r>
        <w:rPr>
          <w:rFonts w:ascii="仿宋" w:hAnsi="仿宋" w:eastAsia="仿宋" w:cs="仿宋"/>
          <w:color w:val="auto"/>
          <w:sz w:val="30"/>
          <w:szCs w:val="30"/>
          <w:shd w:val="clear" w:color="auto" w:fill="auto"/>
          <w:lang w:bidi="ar"/>
        </w:rPr>
        <w:t>机场周边</w:t>
      </w:r>
      <w:r>
        <w:rPr>
          <w:rFonts w:hint="eastAsia" w:ascii="仿宋" w:hAnsi="仿宋" w:eastAsia="仿宋" w:cs="仿宋"/>
          <w:color w:val="auto"/>
          <w:sz w:val="30"/>
          <w:szCs w:val="30"/>
          <w:shd w:val="clear" w:color="auto" w:fill="auto"/>
          <w:lang w:bidi="ar"/>
        </w:rPr>
        <w:t>建房</w:t>
      </w:r>
      <w:r>
        <w:rPr>
          <w:rFonts w:ascii="仿宋" w:hAnsi="仿宋" w:eastAsia="仿宋" w:cs="仿宋"/>
          <w:color w:val="auto"/>
          <w:sz w:val="30"/>
          <w:szCs w:val="30"/>
          <w:shd w:val="clear" w:color="auto" w:fill="auto"/>
          <w:lang w:bidi="ar"/>
        </w:rPr>
        <w:t>的</w:t>
      </w:r>
      <w:r>
        <w:rPr>
          <w:rFonts w:hint="eastAsia" w:ascii="仿宋" w:hAnsi="仿宋" w:eastAsia="仿宋" w:cs="仿宋"/>
          <w:color w:val="auto"/>
          <w:sz w:val="30"/>
          <w:szCs w:val="30"/>
          <w:shd w:val="clear" w:color="auto" w:fill="auto"/>
          <w:lang w:bidi="ar"/>
        </w:rPr>
        <w:t>，</w:t>
      </w:r>
      <w:r>
        <w:rPr>
          <w:rFonts w:ascii="仿宋" w:hAnsi="仿宋" w:eastAsia="仿宋" w:cs="仿宋"/>
          <w:color w:val="auto"/>
          <w:sz w:val="30"/>
          <w:szCs w:val="30"/>
          <w:shd w:val="clear" w:color="auto" w:fill="auto"/>
          <w:lang w:bidi="ar"/>
        </w:rPr>
        <w:t>应遵守</w:t>
      </w:r>
      <w:r>
        <w:rPr>
          <w:rFonts w:hint="eastAsia" w:ascii="仿宋" w:hAnsi="仿宋" w:eastAsia="仿宋" w:cs="仿宋"/>
          <w:color w:val="auto"/>
          <w:sz w:val="30"/>
          <w:szCs w:val="30"/>
          <w:shd w:val="clear" w:color="auto" w:fill="auto"/>
          <w:lang w:bidi="ar"/>
        </w:rPr>
        <w:t>铁路</w:t>
      </w:r>
      <w:r>
        <w:rPr>
          <w:rFonts w:ascii="仿宋" w:hAnsi="仿宋" w:eastAsia="仿宋" w:cs="仿宋"/>
          <w:color w:val="auto"/>
          <w:sz w:val="30"/>
          <w:szCs w:val="30"/>
          <w:shd w:val="clear" w:color="auto" w:fill="auto"/>
          <w:lang w:bidi="ar"/>
        </w:rPr>
        <w:t>安全</w:t>
      </w:r>
      <w:r>
        <w:rPr>
          <w:rFonts w:hint="eastAsia" w:ascii="仿宋" w:hAnsi="仿宋" w:eastAsia="仿宋" w:cs="仿宋"/>
          <w:color w:val="auto"/>
          <w:sz w:val="30"/>
          <w:szCs w:val="30"/>
          <w:shd w:val="clear" w:color="auto" w:fill="auto"/>
          <w:lang w:bidi="ar"/>
        </w:rPr>
        <w:t>保护</w:t>
      </w:r>
      <w:r>
        <w:rPr>
          <w:rFonts w:ascii="仿宋" w:hAnsi="仿宋" w:eastAsia="仿宋" w:cs="仿宋"/>
          <w:color w:val="auto"/>
          <w:sz w:val="30"/>
          <w:szCs w:val="30"/>
          <w:shd w:val="clear" w:color="auto" w:fill="auto"/>
          <w:lang w:bidi="ar"/>
        </w:rPr>
        <w:t>和机场</w:t>
      </w:r>
      <w:r>
        <w:rPr>
          <w:rFonts w:hint="eastAsia" w:ascii="仿宋" w:hAnsi="仿宋" w:eastAsia="仿宋" w:cs="仿宋"/>
          <w:color w:val="auto"/>
          <w:sz w:val="30"/>
          <w:szCs w:val="30"/>
          <w:shd w:val="clear" w:color="auto" w:fill="auto"/>
          <w:lang w:bidi="ar"/>
        </w:rPr>
        <w:t>管理</w:t>
      </w:r>
      <w:r>
        <w:rPr>
          <w:rFonts w:ascii="仿宋" w:hAnsi="仿宋" w:eastAsia="仿宋" w:cs="仿宋"/>
          <w:color w:val="auto"/>
          <w:sz w:val="30"/>
          <w:szCs w:val="30"/>
          <w:shd w:val="clear" w:color="auto" w:fill="auto"/>
          <w:lang w:bidi="ar"/>
        </w:rPr>
        <w:t>的有关</w:t>
      </w:r>
      <w:r>
        <w:rPr>
          <w:rFonts w:hint="eastAsia" w:ascii="仿宋" w:hAnsi="仿宋" w:eastAsia="仿宋" w:cs="仿宋"/>
          <w:color w:val="auto"/>
          <w:sz w:val="30"/>
          <w:szCs w:val="30"/>
          <w:shd w:val="clear" w:color="auto" w:fill="auto"/>
          <w:lang w:bidi="ar"/>
        </w:rPr>
        <w:t>法律法规</w:t>
      </w:r>
      <w:r>
        <w:rPr>
          <w:rFonts w:ascii="仿宋" w:hAnsi="仿宋" w:eastAsia="仿宋" w:cs="仿宋"/>
          <w:color w:val="auto"/>
          <w:sz w:val="30"/>
          <w:szCs w:val="30"/>
          <w:shd w:val="clear" w:color="auto" w:fill="auto"/>
          <w:lang w:bidi="ar"/>
        </w:rPr>
        <w:t>规定</w:t>
      </w:r>
      <w:r>
        <w:rPr>
          <w:rFonts w:hint="eastAsia" w:ascii="仿宋" w:hAnsi="仿宋" w:eastAsia="仿宋" w:cs="仿宋"/>
          <w:color w:val="auto"/>
          <w:sz w:val="30"/>
          <w:szCs w:val="30"/>
          <w:shd w:val="clear" w:color="auto" w:fill="auto"/>
          <w:lang w:bidi="ar"/>
        </w:rPr>
        <w:t>）。</w:t>
      </w:r>
    </w:p>
    <w:p>
      <w:pPr>
        <w:pStyle w:val="3"/>
        <w:spacing w:before="156" w:beforeLines="50" w:after="0" w:line="240" w:lineRule="auto"/>
        <w:jc w:val="center"/>
        <w:rPr>
          <w:b w:val="0"/>
          <w:bCs/>
          <w:color w:val="auto"/>
          <w:shd w:val="clear" w:color="auto" w:fill="auto"/>
          <w:lang w:val="zh-CN"/>
        </w:rPr>
      </w:pPr>
      <w:bookmarkStart w:id="52" w:name="_Toc30502"/>
      <w:r>
        <w:rPr>
          <w:rFonts w:hint="eastAsia"/>
          <w:b w:val="0"/>
          <w:bCs/>
          <w:color w:val="auto"/>
          <w:shd w:val="clear" w:color="auto" w:fill="auto"/>
          <w:lang w:val="zh-CN"/>
        </w:rPr>
        <w:t>第二节  公共管理与公共服务设施</w:t>
      </w:r>
      <w:bookmarkEnd w:id="52"/>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镇区公共服务设施</w:t>
      </w:r>
    </w:p>
    <w:p>
      <w:pPr>
        <w:pStyle w:val="11"/>
        <w:widowControl/>
        <w:shd w:val="clear" w:color="auto" w:fill="FFFFFF"/>
        <w:tabs>
          <w:tab w:val="left" w:pos="0"/>
        </w:tabs>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ascii="仿宋_GB2312" w:hAnsi="仿宋_GB2312" w:eastAsia="仿宋_GB2312" w:cs="仿宋_GB2312"/>
          <w:color w:val="auto"/>
          <w:sz w:val="30"/>
          <w:szCs w:val="30"/>
          <w:shd w:val="clear" w:color="auto" w:fill="auto"/>
          <w:lang w:bidi="ar"/>
        </w:rPr>
        <w:t>1、</w:t>
      </w:r>
      <w:r>
        <w:rPr>
          <w:rFonts w:hint="eastAsia" w:ascii="仿宋" w:hAnsi="仿宋" w:eastAsia="仿宋" w:cs="仿宋"/>
          <w:color w:val="auto"/>
          <w:sz w:val="30"/>
          <w:szCs w:val="30"/>
          <w:shd w:val="clear" w:color="auto" w:fill="auto"/>
          <w:lang w:bidi="ar"/>
        </w:rPr>
        <w:t>行政管理与服务、教育、公共文化、体育、医疗卫生、养老福利和其他公共服务设施，明确现状保留和新增设施的用地规模、建设规模、位置、用地边界及配套内容，确定各类设施指标。其项目的配置应符合与《湖南省乡镇国土空间规划编制指南》</w:t>
      </w:r>
      <w:r>
        <w:rPr>
          <w:rFonts w:hint="eastAsia" w:ascii="仿宋" w:hAnsi="仿宋" w:eastAsia="仿宋" w:cs="仿宋"/>
          <w:color w:val="auto"/>
          <w:sz w:val="30"/>
          <w:szCs w:val="30"/>
          <w:shd w:val="clear" w:color="auto" w:fill="auto"/>
          <w:lang w:eastAsia="zh-CN" w:bidi="ar"/>
        </w:rPr>
        <w:t>及相关规范</w:t>
      </w:r>
      <w:r>
        <w:rPr>
          <w:rFonts w:hint="eastAsia" w:ascii="仿宋" w:hAnsi="仿宋" w:eastAsia="仿宋" w:cs="仿宋"/>
          <w:color w:val="auto"/>
          <w:sz w:val="30"/>
          <w:szCs w:val="30"/>
          <w:shd w:val="clear" w:color="auto" w:fill="auto"/>
          <w:lang w:bidi="ar"/>
        </w:rPr>
        <w:t>的规定。</w:t>
      </w:r>
    </w:p>
    <w:p>
      <w:pPr>
        <w:pStyle w:val="11"/>
        <w:widowControl/>
        <w:shd w:val="clear" w:color="auto" w:fill="FFFFFF"/>
        <w:tabs>
          <w:tab w:val="left" w:pos="0"/>
        </w:tabs>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ascii="仿宋_GB2312" w:hAnsi="仿宋_GB2312" w:eastAsia="仿宋_GB2312" w:cs="仿宋_GB2312"/>
          <w:color w:val="auto"/>
          <w:sz w:val="30"/>
          <w:szCs w:val="30"/>
          <w:shd w:val="clear" w:color="auto" w:fill="auto"/>
          <w:lang w:bidi="ar"/>
        </w:rPr>
        <w:t>2、</w:t>
      </w:r>
      <w:r>
        <w:rPr>
          <w:rFonts w:hint="eastAsia" w:ascii="仿宋" w:hAnsi="仿宋" w:eastAsia="仿宋" w:cs="仿宋"/>
          <w:color w:val="auto"/>
          <w:sz w:val="30"/>
          <w:szCs w:val="30"/>
          <w:shd w:val="clear" w:color="auto" w:fill="auto"/>
          <w:lang w:bidi="ar"/>
        </w:rPr>
        <w:t>医疗保健机构必须独立选址，其他公共设施宜相对集中布置，形成公共活动中心。</w:t>
      </w:r>
    </w:p>
    <w:p>
      <w:pPr>
        <w:pStyle w:val="11"/>
        <w:widowControl/>
        <w:shd w:val="clear" w:color="auto" w:fill="FFFFFF"/>
        <w:tabs>
          <w:tab w:val="left" w:pos="0"/>
        </w:tabs>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3</w:t>
      </w:r>
      <w:r>
        <w:rPr>
          <w:rFonts w:hint="eastAsia" w:ascii="仿宋" w:hAnsi="仿宋" w:eastAsia="仿宋" w:cs="仿宋"/>
          <w:color w:val="auto"/>
          <w:sz w:val="30"/>
          <w:szCs w:val="30"/>
          <w:shd w:val="clear" w:color="auto" w:fill="auto"/>
          <w:lang w:bidi="ar"/>
        </w:rPr>
        <w:t>、幼儿园、托儿所的用地，应设在阳光充足、环境安静、远离污染和不危及学生、儿童安全的地段，距离铁路干线应大于300米，主要出入口不应开向公路。</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4</w:t>
      </w:r>
      <w:r>
        <w:rPr>
          <w:rFonts w:ascii="仿宋_GB2312" w:hAnsi="仿宋_GB2312" w:eastAsia="仿宋_GB2312" w:cs="仿宋_GB2312"/>
          <w:color w:val="auto"/>
          <w:sz w:val="30"/>
          <w:szCs w:val="30"/>
          <w:shd w:val="clear" w:color="auto" w:fill="auto"/>
          <w:lang w:bidi="ar"/>
        </w:rPr>
        <w:t>、</w:t>
      </w:r>
      <w:r>
        <w:rPr>
          <w:rFonts w:hint="eastAsia" w:ascii="仿宋" w:hAnsi="仿宋" w:eastAsia="仿宋" w:cs="仿宋"/>
          <w:color w:val="auto"/>
          <w:sz w:val="30"/>
          <w:szCs w:val="30"/>
          <w:shd w:val="clear" w:color="auto" w:fill="auto"/>
          <w:lang w:bidi="ar"/>
        </w:rPr>
        <w:t>卫生院、防疫站的选址，应方便使用和避开人流和车流大的地段，并应满足突发灾害事件的应急要求。</w:t>
      </w:r>
    </w:p>
    <w:p>
      <w:pPr>
        <w:pStyle w:val="11"/>
        <w:widowControl/>
        <w:shd w:val="clear" w:color="auto" w:fill="FFFFFF"/>
        <w:tabs>
          <w:tab w:val="left" w:pos="0"/>
        </w:tabs>
        <w:spacing w:beforeAutospacing="0" w:afterAutospacing="0" w:line="360" w:lineRule="auto"/>
        <w:ind w:firstLine="600" w:firstLineChars="200"/>
        <w:jc w:val="both"/>
        <w:rPr>
          <w:rFonts w:hint="eastAsia" w:ascii="仿宋" w:hAnsi="仿宋" w:eastAsia="仿宋" w:cs="仿宋"/>
          <w:color w:val="auto"/>
          <w:sz w:val="30"/>
          <w:szCs w:val="30"/>
          <w:shd w:val="clear" w:color="auto" w:fill="auto"/>
          <w:lang w:bidi="ar"/>
        </w:rPr>
      </w:pPr>
      <w:r>
        <w:rPr>
          <w:rFonts w:ascii="仿宋_GB2312" w:hAnsi="仿宋_GB2312" w:eastAsia="仿宋_GB2312" w:cs="仿宋_GB2312"/>
          <w:color w:val="auto"/>
          <w:sz w:val="30"/>
          <w:szCs w:val="30"/>
          <w:shd w:val="clear" w:color="auto" w:fill="auto"/>
          <w:lang w:bidi="ar"/>
        </w:rPr>
        <w:t>5、</w:t>
      </w:r>
      <w:r>
        <w:rPr>
          <w:rFonts w:hint="eastAsia" w:ascii="仿宋" w:hAnsi="仿宋" w:eastAsia="仿宋" w:cs="仿宋"/>
          <w:color w:val="auto"/>
          <w:sz w:val="30"/>
          <w:szCs w:val="30"/>
          <w:shd w:val="clear" w:color="auto" w:fill="auto"/>
          <w:lang w:bidi="ar"/>
        </w:rPr>
        <w:t>老设施按养老模式、服务内容和服务形式进行综合分类，分为机构养老照料设施、社区养老照料设施和老年人公共活动设施三类，镇区养老设施的分类配配建应按照表11.</w:t>
      </w:r>
      <w:r>
        <w:rPr>
          <w:rFonts w:ascii="仿宋" w:hAnsi="仿宋" w:eastAsia="仿宋" w:cs="仿宋"/>
          <w:color w:val="auto"/>
          <w:sz w:val="30"/>
          <w:szCs w:val="30"/>
          <w:shd w:val="clear" w:color="auto" w:fill="auto"/>
          <w:lang w:bidi="ar"/>
        </w:rPr>
        <w:t>1</w:t>
      </w:r>
      <w:r>
        <w:rPr>
          <w:rFonts w:hint="eastAsia" w:ascii="仿宋" w:hAnsi="仿宋" w:eastAsia="仿宋" w:cs="仿宋"/>
          <w:color w:val="auto"/>
          <w:sz w:val="30"/>
          <w:szCs w:val="30"/>
          <w:shd w:val="clear" w:color="auto" w:fill="auto"/>
          <w:lang w:bidi="ar"/>
        </w:rPr>
        <w:t>的规定。</w:t>
      </w:r>
    </w:p>
    <w:p>
      <w:pPr>
        <w:pStyle w:val="11"/>
        <w:widowControl/>
        <w:shd w:val="clear" w:color="auto" w:fill="FFFFFF"/>
        <w:tabs>
          <w:tab w:val="left" w:pos="0"/>
        </w:tabs>
        <w:spacing w:beforeAutospacing="0" w:afterAutospacing="0" w:line="360" w:lineRule="auto"/>
        <w:ind w:firstLine="562" w:firstLineChars="200"/>
        <w:jc w:val="center"/>
        <w:rPr>
          <w:rFonts w:ascii="仿宋_GB2312" w:hAnsi="仿宋_GB2312" w:eastAsia="仿宋_GB2312" w:cs="仿宋_GB2312"/>
          <w:b/>
          <w:bCs/>
          <w:color w:val="auto"/>
          <w:sz w:val="28"/>
          <w:szCs w:val="28"/>
          <w:shd w:val="clear" w:color="auto" w:fill="auto"/>
          <w:lang w:bidi="ar"/>
        </w:rPr>
      </w:pPr>
      <w:r>
        <w:rPr>
          <w:rFonts w:hint="eastAsia" w:ascii="仿宋_GB2312" w:hAnsi="仿宋_GB2312" w:eastAsia="仿宋_GB2312" w:cs="仿宋_GB2312"/>
          <w:b/>
          <w:bCs/>
          <w:color w:val="auto"/>
          <w:sz w:val="28"/>
          <w:szCs w:val="28"/>
          <w:shd w:val="clear" w:color="auto" w:fill="auto"/>
          <w:lang w:bidi="ar"/>
        </w:rPr>
        <w:t>表11.</w:t>
      </w:r>
      <w:r>
        <w:rPr>
          <w:rFonts w:ascii="仿宋_GB2312" w:hAnsi="仿宋_GB2312" w:eastAsia="仿宋_GB2312" w:cs="仿宋_GB2312"/>
          <w:b/>
          <w:bCs/>
          <w:color w:val="auto"/>
          <w:sz w:val="28"/>
          <w:szCs w:val="28"/>
          <w:shd w:val="clear" w:color="auto" w:fill="auto"/>
          <w:lang w:bidi="ar"/>
        </w:rPr>
        <w:t>1</w:t>
      </w:r>
      <w:r>
        <w:rPr>
          <w:rFonts w:hint="eastAsia" w:ascii="仿宋_GB2312" w:hAnsi="仿宋_GB2312" w:eastAsia="仿宋_GB2312" w:cs="仿宋_GB2312"/>
          <w:b/>
          <w:bCs/>
          <w:color w:val="auto"/>
          <w:sz w:val="28"/>
          <w:szCs w:val="28"/>
          <w:shd w:val="clear" w:color="auto" w:fill="auto"/>
          <w:lang w:bidi="ar"/>
        </w:rPr>
        <w:t>养老设施</w:t>
      </w:r>
      <w:r>
        <w:rPr>
          <w:rFonts w:ascii="仿宋_GB2312" w:hAnsi="仿宋_GB2312" w:eastAsia="仿宋_GB2312" w:cs="仿宋_GB2312"/>
          <w:b/>
          <w:bCs/>
          <w:color w:val="auto"/>
          <w:sz w:val="28"/>
          <w:szCs w:val="28"/>
          <w:shd w:val="clear" w:color="auto" w:fill="auto"/>
          <w:lang w:bidi="ar"/>
        </w:rPr>
        <w:t>分级</w:t>
      </w:r>
      <w:r>
        <w:rPr>
          <w:rFonts w:hint="eastAsia" w:ascii="仿宋_GB2312" w:hAnsi="仿宋_GB2312" w:eastAsia="仿宋_GB2312" w:cs="仿宋_GB2312"/>
          <w:b/>
          <w:bCs/>
          <w:color w:val="auto"/>
          <w:sz w:val="28"/>
          <w:szCs w:val="28"/>
          <w:shd w:val="clear" w:color="auto" w:fill="auto"/>
          <w:lang w:bidi="ar"/>
        </w:rPr>
        <w:t>分类</w:t>
      </w:r>
      <w:r>
        <w:rPr>
          <w:rFonts w:ascii="仿宋_GB2312" w:hAnsi="仿宋_GB2312" w:eastAsia="仿宋_GB2312" w:cs="仿宋_GB2312"/>
          <w:b/>
          <w:bCs/>
          <w:color w:val="auto"/>
          <w:sz w:val="28"/>
          <w:szCs w:val="28"/>
          <w:shd w:val="clear" w:color="auto" w:fill="auto"/>
          <w:lang w:bidi="ar"/>
        </w:rPr>
        <w:t>配建</w:t>
      </w:r>
      <w:r>
        <w:rPr>
          <w:rFonts w:hint="eastAsia" w:ascii="仿宋_GB2312" w:hAnsi="仿宋_GB2312" w:eastAsia="仿宋_GB2312" w:cs="仿宋_GB2312"/>
          <w:b/>
          <w:bCs/>
          <w:color w:val="auto"/>
          <w:sz w:val="28"/>
          <w:szCs w:val="28"/>
          <w:shd w:val="clear" w:color="auto" w:fill="auto"/>
          <w:lang w:bidi="ar"/>
        </w:rPr>
        <w:t>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5183"/>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设施类型</w:t>
            </w:r>
          </w:p>
        </w:tc>
        <w:tc>
          <w:tcPr>
            <w:tcW w:w="304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设施名称</w:t>
            </w:r>
          </w:p>
        </w:tc>
        <w:tc>
          <w:tcPr>
            <w:tcW w:w="948"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机构养老照料设施</w:t>
            </w:r>
          </w:p>
        </w:tc>
        <w:tc>
          <w:tcPr>
            <w:tcW w:w="304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养老院、老人院、福利院、敬老院、老年养护院、老年公寓（公共服务属性）等</w:t>
            </w:r>
          </w:p>
        </w:tc>
        <w:tc>
          <w:tcPr>
            <w:tcW w:w="948"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社区养老照料设施</w:t>
            </w:r>
          </w:p>
        </w:tc>
        <w:tc>
          <w:tcPr>
            <w:tcW w:w="304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社区老年人日间照料中心、托老所、老年服务中心等</w:t>
            </w:r>
          </w:p>
        </w:tc>
        <w:tc>
          <w:tcPr>
            <w:tcW w:w="948"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老年人公共活动设施</w:t>
            </w:r>
          </w:p>
        </w:tc>
        <w:tc>
          <w:tcPr>
            <w:tcW w:w="304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老年人活动中心、老年学校（大学）等</w:t>
            </w:r>
          </w:p>
        </w:tc>
        <w:tc>
          <w:tcPr>
            <w:tcW w:w="948"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w:t>
            </w:r>
          </w:p>
        </w:tc>
      </w:tr>
    </w:tbl>
    <w:p>
      <w:pPr>
        <w:pStyle w:val="11"/>
        <w:widowControl/>
        <w:shd w:val="clear" w:color="auto" w:fill="FFFFFF"/>
        <w:tabs>
          <w:tab w:val="left" w:pos="0"/>
        </w:tabs>
        <w:spacing w:beforeAutospacing="0" w:afterAutospacing="0" w:line="360" w:lineRule="auto"/>
        <w:ind w:firstLine="480" w:firstLineChars="200"/>
        <w:rPr>
          <w:rFonts w:ascii="仿宋_GB2312" w:hAnsi="仿宋_GB2312" w:eastAsia="仿宋_GB2312" w:cs="仿宋_GB2312"/>
          <w:color w:val="auto"/>
          <w:szCs w:val="30"/>
          <w:shd w:val="clear" w:color="auto" w:fill="auto"/>
        </w:rPr>
      </w:pPr>
      <w:r>
        <w:rPr>
          <w:rFonts w:hint="eastAsia" w:ascii="仿宋_GB2312" w:hAnsi="仿宋_GB2312" w:eastAsia="仿宋_GB2312" w:cs="仿宋_GB2312"/>
          <w:color w:val="auto"/>
          <w:szCs w:val="30"/>
          <w:shd w:val="clear" w:color="auto" w:fill="auto"/>
          <w:lang w:bidi="ar"/>
        </w:rPr>
        <w:t>注</w:t>
      </w:r>
      <w:r>
        <w:rPr>
          <w:rFonts w:ascii="仿宋_GB2312" w:hAnsi="仿宋_GB2312" w:eastAsia="仿宋_GB2312" w:cs="仿宋_GB2312"/>
          <w:color w:val="auto"/>
          <w:szCs w:val="30"/>
          <w:shd w:val="clear" w:color="auto" w:fill="auto"/>
          <w:lang w:bidi="ar"/>
        </w:rPr>
        <w:t>：</w:t>
      </w:r>
      <w:r>
        <w:rPr>
          <w:rFonts w:hint="eastAsia" w:ascii="仿宋_GB2312" w:hAnsi="仿宋_GB2312" w:eastAsia="仿宋_GB2312" w:cs="仿宋_GB2312"/>
          <w:color w:val="auto"/>
          <w:szCs w:val="30"/>
          <w:shd w:val="clear" w:color="auto" w:fill="auto"/>
          <w:lang w:bidi="ar"/>
        </w:rPr>
        <w:t>表中</w:t>
      </w:r>
      <w:r>
        <w:rPr>
          <w:rFonts w:hint="eastAsia" w:ascii="仿宋_GB2312" w:hAnsi="仿宋_GB2312" w:eastAsia="仿宋_GB2312" w:cs="仿宋_GB2312"/>
          <w:color w:val="auto"/>
          <w:szCs w:val="30"/>
          <w:shd w:val="clear" w:color="auto" w:fill="auto"/>
        </w:rPr>
        <w:t>▲为</w:t>
      </w:r>
      <w:r>
        <w:rPr>
          <w:rFonts w:ascii="仿宋_GB2312" w:hAnsi="仿宋_GB2312" w:eastAsia="仿宋_GB2312" w:cs="仿宋_GB2312"/>
          <w:color w:val="auto"/>
          <w:szCs w:val="30"/>
          <w:shd w:val="clear" w:color="auto" w:fill="auto"/>
        </w:rPr>
        <w:t>应配建</w:t>
      </w:r>
      <w:r>
        <w:rPr>
          <w:rFonts w:hint="eastAsia" w:ascii="仿宋_GB2312" w:hAnsi="仿宋_GB2312" w:eastAsia="仿宋_GB2312" w:cs="仿宋_GB2312"/>
          <w:color w:val="auto"/>
          <w:szCs w:val="30"/>
          <w:shd w:val="clear" w:color="auto" w:fill="auto"/>
        </w:rPr>
        <w:t>。</w:t>
      </w:r>
    </w:p>
    <w:p>
      <w:pPr>
        <w:pStyle w:val="3"/>
        <w:spacing w:before="156" w:beforeLines="50" w:after="0" w:line="240" w:lineRule="auto"/>
        <w:jc w:val="center"/>
        <w:rPr>
          <w:b w:val="0"/>
          <w:bCs/>
          <w:color w:val="auto"/>
          <w:shd w:val="clear" w:color="auto" w:fill="auto"/>
          <w:lang w:val="zh-CN"/>
        </w:rPr>
      </w:pPr>
      <w:bookmarkStart w:id="53" w:name="_Toc5363"/>
      <w:r>
        <w:rPr>
          <w:rFonts w:hint="eastAsia"/>
          <w:b w:val="0"/>
          <w:bCs/>
          <w:color w:val="auto"/>
          <w:shd w:val="clear" w:color="auto" w:fill="auto"/>
          <w:lang w:val="zh-CN"/>
        </w:rPr>
        <w:t>第三节  道路交通</w:t>
      </w:r>
      <w:bookmarkEnd w:id="53"/>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镇区道路交通</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道路交通规划应根据村镇之间的联系和各项用地的功能、交通流量，结合自然条件与现状特点，确定道路交通系统，并有利于建筑布置和管线敷设。</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镇区的道路应分为主干路、干路、支路、巷路四级。镇区道路应当路网合理、主次分明，道路纵坡度应控制在0.3%-3.5%之间。山区特殊路段纵坡度大于3.5%时，宜采取相应的防滑设施。</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高速公路和一级公路的用地范围应与镇区建设用地范围之间预留发展所需的距离。</w:t>
      </w:r>
      <w:r>
        <w:rPr>
          <w:rFonts w:hint="eastAsia" w:ascii="仿宋" w:hAnsi="仿宋" w:eastAsia="仿宋" w:cs="仿宋"/>
          <w:color w:val="auto"/>
          <w:sz w:val="30"/>
          <w:szCs w:val="30"/>
          <w:shd w:val="clear" w:color="auto" w:fill="auto"/>
          <w:lang w:val="en-US" w:eastAsia="zh-CN" w:bidi="ar"/>
        </w:rPr>
        <w:t>规划中的二、三级公路不宜穿过镇区和村庄内部，对于现状穿过镇区和村庄的二、三级公路，在具备改线的条件下，可在规划中进行调整</w:t>
      </w:r>
      <w:r>
        <w:rPr>
          <w:rFonts w:hint="eastAsia" w:ascii="仿宋" w:hAnsi="仿宋" w:eastAsia="仿宋" w:cs="仿宋"/>
          <w:color w:val="auto"/>
          <w:sz w:val="30"/>
          <w:szCs w:val="30"/>
          <w:shd w:val="clear" w:color="auto" w:fill="auto"/>
          <w:lang w:bidi="ar"/>
        </w:rPr>
        <w:t>。</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连接工厂、仓库、车站、码头、货场等以货运为主的道路不应穿越镇区的中心地段；文体娱乐、商业服务等大型公共建筑出入口处应设置人流、车辆集散场地。</w:t>
      </w:r>
    </w:p>
    <w:p>
      <w:pPr>
        <w:pStyle w:val="3"/>
        <w:spacing w:before="156" w:beforeLines="50" w:after="0" w:line="240" w:lineRule="auto"/>
        <w:jc w:val="center"/>
        <w:rPr>
          <w:b w:val="0"/>
          <w:bCs/>
          <w:color w:val="auto"/>
          <w:shd w:val="clear" w:color="auto" w:fill="auto"/>
          <w:lang w:val="zh-CN"/>
        </w:rPr>
      </w:pPr>
      <w:bookmarkStart w:id="54" w:name="_TOC_250008"/>
      <w:bookmarkEnd w:id="54"/>
      <w:bookmarkStart w:id="55" w:name="_Toc3533"/>
      <w:r>
        <w:rPr>
          <w:rFonts w:hint="eastAsia"/>
          <w:b w:val="0"/>
          <w:bCs/>
          <w:color w:val="auto"/>
          <w:shd w:val="clear" w:color="auto" w:fill="auto"/>
          <w:lang w:val="zh-CN"/>
        </w:rPr>
        <w:t>第四节  公用设施</w:t>
      </w:r>
      <w:bookmarkEnd w:id="55"/>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给水</w:t>
      </w:r>
    </w:p>
    <w:p>
      <w:pPr>
        <w:pStyle w:val="11"/>
        <w:widowControl/>
        <w:shd w:val="clear" w:color="auto" w:fill="FFFFFF"/>
        <w:tabs>
          <w:tab w:val="left" w:pos="0"/>
        </w:tabs>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1、供水规模</w:t>
      </w:r>
    </w:p>
    <w:p>
      <w:pPr>
        <w:pStyle w:val="11"/>
        <w:widowControl/>
        <w:shd w:val="clear" w:color="auto" w:fill="FFFFFF"/>
        <w:tabs>
          <w:tab w:val="left" w:pos="0"/>
        </w:tabs>
        <w:spacing w:beforeAutospacing="0" w:afterAutospacing="0" w:line="360" w:lineRule="auto"/>
        <w:ind w:firstLine="600" w:firstLineChars="200"/>
        <w:jc w:val="both"/>
        <w:rPr>
          <w:rFonts w:hint="eastAsia" w:ascii="仿宋" w:hAnsi="仿宋" w:eastAsia="仿宋" w:cs="仿宋"/>
          <w:color w:val="auto"/>
          <w:sz w:val="30"/>
          <w:szCs w:val="30"/>
          <w:shd w:val="clear" w:color="auto" w:fill="auto"/>
          <w:lang w:eastAsia="zh-CN" w:bidi="ar"/>
        </w:rPr>
      </w:pPr>
      <w:r>
        <w:rPr>
          <w:rFonts w:hint="eastAsia" w:ascii="仿宋" w:hAnsi="仿宋" w:eastAsia="仿宋" w:cs="仿宋"/>
          <w:color w:val="auto"/>
          <w:sz w:val="30"/>
          <w:szCs w:val="30"/>
          <w:shd w:val="clear" w:color="auto" w:fill="auto"/>
          <w:lang w:bidi="ar"/>
        </w:rPr>
        <w:t>镇区供水设施建设规模应满足规划期内最高日需水量要求，并根据近期、远期规划人口和两型社会建设目标因地制宜确定。集中式供水最高日需水量由生活用水、生产用水、主要畜禽饲养用水、消防用水、浇洒道路用水、绿地用水、管网漏失及未预见用水组成。各类用水量预测应符合《湖南省镇区（集镇）供排水工程专项规划设计技术导引》的规定</w:t>
      </w:r>
      <w:r>
        <w:rPr>
          <w:rFonts w:hint="eastAsia" w:ascii="仿宋" w:hAnsi="仿宋" w:eastAsia="仿宋" w:cs="仿宋"/>
          <w:color w:val="auto"/>
          <w:sz w:val="30"/>
          <w:szCs w:val="30"/>
          <w:shd w:val="clear" w:color="auto" w:fill="auto"/>
          <w:lang w:eastAsia="zh-CN" w:bidi="ar"/>
        </w:rPr>
        <w:t>。</w:t>
      </w:r>
    </w:p>
    <w:p>
      <w:pPr>
        <w:pStyle w:val="11"/>
        <w:widowControl/>
        <w:shd w:val="clear" w:color="auto" w:fill="FFFFFF"/>
        <w:tabs>
          <w:tab w:val="left" w:pos="0"/>
        </w:tabs>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2、配水管网选线与布置</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的配水管网应分布在整个供水区内,根据规划道路和现状条件采用环状管网方式布置，周边地区近期可布置成树枝状，远期应留有连接成环状管网的可能性。供水管线的布置原则应符合《湖南省镇区（集镇）供排水工程专项规划设计技术导引》的规定。</w:t>
      </w:r>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排水</w:t>
      </w:r>
    </w:p>
    <w:p>
      <w:pPr>
        <w:pStyle w:val="11"/>
        <w:widowControl/>
        <w:shd w:val="clear" w:color="auto" w:fill="FFFFFF"/>
        <w:tabs>
          <w:tab w:val="left" w:pos="0"/>
        </w:tabs>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1、排水体制</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的新建区应采用雨污分流制。已经采用合流制的老镇区近期可保留截流式合流制，截流倍数应按当地环境要求与经济发展程度等因素来取定,取值范围可按0.5～1来确定;但老镇区3-5年内应结合道路建设一并改造成为分流制或不完全分流制。对人工湿地和人工快渗工艺在污水排入排水系统之前，应采用化粪池、沼气池等方法进行预处理。</w:t>
      </w:r>
    </w:p>
    <w:p>
      <w:pPr>
        <w:pStyle w:val="11"/>
        <w:widowControl/>
        <w:shd w:val="clear" w:color="auto" w:fill="FFFFFF"/>
        <w:tabs>
          <w:tab w:val="left" w:pos="0"/>
        </w:tabs>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ascii="仿宋_GB2312" w:hAnsi="仿宋_GB2312" w:eastAsia="仿宋_GB2312" w:cs="仿宋_GB2312"/>
          <w:color w:val="auto"/>
          <w:sz w:val="30"/>
          <w:szCs w:val="30"/>
          <w:shd w:val="clear" w:color="auto" w:fill="auto"/>
          <w:lang w:bidi="ar"/>
        </w:rPr>
        <w:t>2</w:t>
      </w:r>
      <w:r>
        <w:rPr>
          <w:rFonts w:hint="eastAsia" w:ascii="仿宋_GB2312" w:hAnsi="仿宋_GB2312" w:eastAsia="仿宋_GB2312" w:cs="仿宋_GB2312"/>
          <w:color w:val="auto"/>
          <w:sz w:val="30"/>
          <w:szCs w:val="30"/>
          <w:shd w:val="clear" w:color="auto" w:fill="auto"/>
          <w:lang w:bidi="ar"/>
        </w:rPr>
        <w:t>、污水处理</w:t>
      </w:r>
      <w:r>
        <w:rPr>
          <w:rFonts w:ascii="仿宋_GB2312" w:hAnsi="仿宋_GB2312" w:eastAsia="仿宋_GB2312" w:cs="仿宋_GB2312"/>
          <w:color w:val="auto"/>
          <w:sz w:val="30"/>
          <w:szCs w:val="30"/>
          <w:shd w:val="clear" w:color="auto" w:fill="auto"/>
          <w:lang w:bidi="ar"/>
        </w:rPr>
        <w:t>规模</w:t>
      </w:r>
    </w:p>
    <w:p>
      <w:pPr>
        <w:pStyle w:val="11"/>
        <w:widowControl/>
        <w:shd w:val="clear" w:color="auto" w:fill="FFFFFF"/>
        <w:tabs>
          <w:tab w:val="left" w:pos="0"/>
        </w:tabs>
        <w:spacing w:beforeAutospacing="0" w:afterAutospacing="0" w:line="360" w:lineRule="auto"/>
        <w:ind w:firstLine="600" w:firstLineChars="200"/>
        <w:jc w:val="both"/>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污水处理规模按照镇区规划年的平均日污水量确定。污水处理设施工艺及占地情况应符合表11.</w:t>
      </w:r>
      <w:r>
        <w:rPr>
          <w:rFonts w:ascii="仿宋" w:hAnsi="仿宋" w:eastAsia="仿宋" w:cs="仿宋"/>
          <w:color w:val="auto"/>
          <w:sz w:val="30"/>
          <w:szCs w:val="30"/>
          <w:shd w:val="clear" w:color="auto" w:fill="auto"/>
          <w:lang w:bidi="ar"/>
        </w:rPr>
        <w:t>2</w:t>
      </w:r>
      <w:r>
        <w:rPr>
          <w:rFonts w:hint="eastAsia" w:ascii="仿宋" w:hAnsi="仿宋" w:eastAsia="仿宋" w:cs="仿宋"/>
          <w:color w:val="auto"/>
          <w:sz w:val="30"/>
          <w:szCs w:val="30"/>
          <w:shd w:val="clear" w:color="auto" w:fill="auto"/>
          <w:lang w:bidi="ar"/>
        </w:rPr>
        <w:t xml:space="preserve"> 的规定。</w:t>
      </w:r>
    </w:p>
    <w:p>
      <w:pPr>
        <w:spacing w:line="360" w:lineRule="auto"/>
        <w:ind w:firstLine="562" w:firstLineChars="200"/>
        <w:jc w:val="center"/>
        <w:rPr>
          <w:rFonts w:ascii="仿宋" w:hAnsi="仿宋" w:eastAsia="仿宋" w:cs="仿宋"/>
          <w:b/>
          <w:color w:val="auto"/>
          <w:sz w:val="28"/>
          <w:szCs w:val="28"/>
          <w:shd w:val="clear" w:color="auto" w:fill="auto"/>
        </w:rPr>
      </w:pPr>
      <w:r>
        <w:rPr>
          <w:rFonts w:hint="eastAsia" w:ascii="仿宋" w:hAnsi="仿宋" w:eastAsia="仿宋" w:cs="仿宋"/>
          <w:b/>
          <w:color w:val="auto"/>
          <w:sz w:val="28"/>
          <w:szCs w:val="28"/>
          <w:shd w:val="clear" w:color="auto" w:fill="auto"/>
        </w:rPr>
        <w:t>表11.</w:t>
      </w:r>
      <w:r>
        <w:rPr>
          <w:rFonts w:ascii="仿宋" w:hAnsi="仿宋" w:eastAsia="仿宋" w:cs="仿宋"/>
          <w:b/>
          <w:color w:val="auto"/>
          <w:sz w:val="28"/>
          <w:szCs w:val="28"/>
          <w:shd w:val="clear" w:color="auto" w:fill="auto"/>
        </w:rPr>
        <w:t>2</w:t>
      </w:r>
      <w:r>
        <w:rPr>
          <w:rFonts w:hint="eastAsia" w:ascii="仿宋" w:hAnsi="仿宋" w:eastAsia="仿宋" w:cs="仿宋"/>
          <w:b/>
          <w:color w:val="auto"/>
          <w:sz w:val="28"/>
          <w:szCs w:val="28"/>
          <w:shd w:val="clear" w:color="auto" w:fill="auto"/>
        </w:rPr>
        <w:t xml:space="preserve"> 污水处理工艺及占地情况对比表</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677"/>
        <w:gridCol w:w="1955"/>
        <w:gridCol w:w="1399"/>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Merge w:val="restart"/>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处理规模</w:t>
            </w:r>
          </w:p>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（m³/d）</w:t>
            </w:r>
          </w:p>
        </w:tc>
        <w:tc>
          <w:tcPr>
            <w:tcW w:w="3938" w:type="pct"/>
            <w:gridSpan w:val="4"/>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占地面积</w:t>
            </w:r>
            <w:r>
              <w:rPr>
                <w:rFonts w:hint="eastAsia" w:ascii="仿宋" w:hAnsi="仿宋" w:eastAsia="仿宋" w:cs="仿宋"/>
                <w:b/>
                <w:bCs/>
                <w:color w:val="auto"/>
                <w:shd w:val="clear" w:color="auto" w:fill="auto"/>
              </w:rPr>
              <w:tab/>
            </w:r>
            <w:r>
              <w:rPr>
                <w:rFonts w:hint="eastAsia" w:ascii="仿宋" w:hAnsi="仿宋" w:eastAsia="仿宋" w:cs="仿宋"/>
                <w:b/>
                <w:bCs/>
                <w:color w:val="auto"/>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061" w:type="pct"/>
            <w:vMerge w:val="continue"/>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p>
        </w:tc>
        <w:tc>
          <w:tcPr>
            <w:tcW w:w="984" w:type="pct"/>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人工快渗</w:t>
            </w:r>
          </w:p>
        </w:tc>
        <w:tc>
          <w:tcPr>
            <w:tcW w:w="1147" w:type="pct"/>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生物接触氧化</w:t>
            </w:r>
          </w:p>
        </w:tc>
        <w:tc>
          <w:tcPr>
            <w:tcW w:w="821" w:type="pct"/>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生物转盘</w:t>
            </w:r>
          </w:p>
        </w:tc>
        <w:tc>
          <w:tcPr>
            <w:tcW w:w="985" w:type="pct"/>
            <w:vAlign w:val="center"/>
          </w:tcPr>
          <w:p>
            <w:pPr>
              <w:pStyle w:val="11"/>
              <w:widowControl/>
              <w:tabs>
                <w:tab w:val="left" w:pos="0"/>
              </w:tabs>
              <w:spacing w:beforeAutospacing="0" w:afterAutospacing="0"/>
              <w:jc w:val="center"/>
              <w:rPr>
                <w:rFonts w:ascii="仿宋" w:hAnsi="仿宋" w:eastAsia="仿宋" w:cs="仿宋"/>
                <w:b/>
                <w:bCs/>
                <w:color w:val="auto"/>
                <w:shd w:val="clear" w:color="auto" w:fill="auto"/>
              </w:rPr>
            </w:pPr>
            <w:r>
              <w:rPr>
                <w:rFonts w:hint="eastAsia" w:ascii="仿宋" w:hAnsi="仿宋" w:eastAsia="仿宋" w:cs="仿宋"/>
                <w:b/>
                <w:bCs/>
                <w:color w:val="auto"/>
                <w:shd w:val="clear" w:color="auto" w:fill="auto"/>
              </w:rPr>
              <w:t>氧化沟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1000</w:t>
            </w:r>
          </w:p>
        </w:tc>
        <w:tc>
          <w:tcPr>
            <w:tcW w:w="984"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900</w:t>
            </w:r>
          </w:p>
        </w:tc>
        <w:tc>
          <w:tcPr>
            <w:tcW w:w="1147"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500</w:t>
            </w:r>
          </w:p>
        </w:tc>
        <w:tc>
          <w:tcPr>
            <w:tcW w:w="82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600</w:t>
            </w:r>
          </w:p>
        </w:tc>
        <w:tc>
          <w:tcPr>
            <w:tcW w:w="985"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不采用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2000</w:t>
            </w:r>
          </w:p>
        </w:tc>
        <w:tc>
          <w:tcPr>
            <w:tcW w:w="984"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1700</w:t>
            </w:r>
          </w:p>
        </w:tc>
        <w:tc>
          <w:tcPr>
            <w:tcW w:w="1147"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500</w:t>
            </w:r>
          </w:p>
        </w:tc>
        <w:tc>
          <w:tcPr>
            <w:tcW w:w="82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1100</w:t>
            </w:r>
          </w:p>
        </w:tc>
        <w:tc>
          <w:tcPr>
            <w:tcW w:w="985"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不采用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3000</w:t>
            </w:r>
          </w:p>
        </w:tc>
        <w:tc>
          <w:tcPr>
            <w:tcW w:w="984"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2500</w:t>
            </w:r>
          </w:p>
        </w:tc>
        <w:tc>
          <w:tcPr>
            <w:tcW w:w="1147"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1400</w:t>
            </w:r>
          </w:p>
        </w:tc>
        <w:tc>
          <w:tcPr>
            <w:tcW w:w="82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1600</w:t>
            </w:r>
          </w:p>
        </w:tc>
        <w:tc>
          <w:tcPr>
            <w:tcW w:w="985"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不采用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5000</w:t>
            </w:r>
          </w:p>
        </w:tc>
        <w:tc>
          <w:tcPr>
            <w:tcW w:w="984"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4000</w:t>
            </w:r>
          </w:p>
        </w:tc>
        <w:tc>
          <w:tcPr>
            <w:tcW w:w="1147"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2200</w:t>
            </w:r>
          </w:p>
        </w:tc>
        <w:tc>
          <w:tcPr>
            <w:tcW w:w="82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2400</w:t>
            </w:r>
          </w:p>
        </w:tc>
        <w:tc>
          <w:tcPr>
            <w:tcW w:w="985"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8000</w:t>
            </w:r>
          </w:p>
        </w:tc>
        <w:tc>
          <w:tcPr>
            <w:tcW w:w="984"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6500</w:t>
            </w:r>
          </w:p>
        </w:tc>
        <w:tc>
          <w:tcPr>
            <w:tcW w:w="1147"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3300</w:t>
            </w:r>
          </w:p>
        </w:tc>
        <w:tc>
          <w:tcPr>
            <w:tcW w:w="82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3500</w:t>
            </w:r>
          </w:p>
        </w:tc>
        <w:tc>
          <w:tcPr>
            <w:tcW w:w="985"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1000</w:t>
            </w:r>
          </w:p>
        </w:tc>
        <w:tc>
          <w:tcPr>
            <w:tcW w:w="984"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8000</w:t>
            </w:r>
          </w:p>
        </w:tc>
        <w:tc>
          <w:tcPr>
            <w:tcW w:w="1147"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4000</w:t>
            </w:r>
          </w:p>
        </w:tc>
        <w:tc>
          <w:tcPr>
            <w:tcW w:w="821"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4000</w:t>
            </w:r>
          </w:p>
        </w:tc>
        <w:tc>
          <w:tcPr>
            <w:tcW w:w="985" w:type="pct"/>
            <w:vAlign w:val="center"/>
          </w:tcPr>
          <w:p>
            <w:pPr>
              <w:pStyle w:val="11"/>
              <w:widowControl/>
              <w:tabs>
                <w:tab w:val="left" w:pos="0"/>
              </w:tabs>
              <w:spacing w:beforeAutospacing="0" w:afterAutospacing="0"/>
              <w:jc w:val="center"/>
              <w:rPr>
                <w:rFonts w:ascii="仿宋" w:hAnsi="仿宋" w:eastAsia="仿宋" w:cs="仿宋"/>
                <w:color w:val="auto"/>
                <w:shd w:val="clear" w:color="auto" w:fill="auto"/>
              </w:rPr>
            </w:pPr>
            <w:r>
              <w:rPr>
                <w:rFonts w:hint="eastAsia" w:ascii="仿宋" w:hAnsi="仿宋" w:eastAsia="仿宋" w:cs="仿宋"/>
                <w:color w:val="auto"/>
                <w:shd w:val="clear" w:color="auto" w:fill="auto"/>
              </w:rPr>
              <w:t>8000</w:t>
            </w:r>
          </w:p>
        </w:tc>
      </w:tr>
    </w:tbl>
    <w:p>
      <w:pPr>
        <w:pStyle w:val="11"/>
        <w:widowControl/>
        <w:shd w:val="clear" w:color="auto" w:fill="FFFFFF"/>
        <w:tabs>
          <w:tab w:val="left" w:pos="0"/>
        </w:tabs>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3、排水管渠布置</w:t>
      </w:r>
    </w:p>
    <w:p>
      <w:pPr>
        <w:pStyle w:val="11"/>
        <w:widowControl/>
        <w:shd w:val="clear" w:color="auto" w:fill="FFFFFF"/>
        <w:tabs>
          <w:tab w:val="left" w:pos="0"/>
        </w:tabs>
        <w:spacing w:beforeAutospacing="0" w:afterAutospacing="0" w:line="360" w:lineRule="auto"/>
        <w:ind w:firstLine="600" w:firstLineChars="200"/>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排水管渠的布置，应根据地形、地势及路网竖向规划尽量采用管(涵)以重力流方式来输入。雨水应充分利用地表径流和沟渠排除，污水通过管道或暗渠排放。排水管渠的布置原则应符合《湖南省镇区（集镇）供排水工程专项规划设计技术导引》的规定。</w:t>
      </w:r>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电力</w:t>
      </w:r>
    </w:p>
    <w:p>
      <w:pPr>
        <w:pStyle w:val="11"/>
        <w:widowControl/>
        <w:shd w:val="clear" w:color="auto" w:fill="FFFFFF"/>
        <w:tabs>
          <w:tab w:val="left" w:pos="0"/>
        </w:tabs>
        <w:spacing w:beforeAutospacing="0" w:afterAutospacing="0" w:line="360" w:lineRule="auto"/>
        <w:ind w:firstLine="600" w:firstLineChars="200"/>
        <w:rPr>
          <w:rFonts w:hint="eastAsia"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变电所的选址应方便线路进出和接近负荷中心，变电所用地指标和供电线路布置应符合表11.</w:t>
      </w:r>
      <w:r>
        <w:rPr>
          <w:rFonts w:ascii="仿宋" w:hAnsi="仿宋" w:eastAsia="仿宋" w:cs="仿宋"/>
          <w:color w:val="auto"/>
          <w:sz w:val="30"/>
          <w:szCs w:val="30"/>
          <w:shd w:val="clear" w:color="auto" w:fill="auto"/>
          <w:lang w:bidi="ar"/>
        </w:rPr>
        <w:t>3</w:t>
      </w:r>
      <w:r>
        <w:rPr>
          <w:rFonts w:hint="eastAsia" w:ascii="仿宋" w:hAnsi="仿宋" w:eastAsia="仿宋" w:cs="仿宋"/>
          <w:color w:val="auto"/>
          <w:sz w:val="30"/>
          <w:szCs w:val="30"/>
          <w:shd w:val="clear" w:color="auto" w:fill="auto"/>
          <w:lang w:bidi="ar"/>
        </w:rPr>
        <w:t>的要求规定。</w:t>
      </w:r>
    </w:p>
    <w:p>
      <w:pPr>
        <w:pStyle w:val="11"/>
        <w:widowControl/>
        <w:shd w:val="clear" w:color="auto" w:fill="FFFFFF"/>
        <w:tabs>
          <w:tab w:val="left" w:pos="0"/>
        </w:tabs>
        <w:spacing w:beforeAutospacing="0" w:afterAutospacing="0" w:line="360" w:lineRule="auto"/>
        <w:jc w:val="center"/>
        <w:rPr>
          <w:rFonts w:ascii="仿宋" w:hAnsi="仿宋" w:eastAsia="仿宋" w:cs="仿宋"/>
          <w:b/>
          <w:bCs/>
          <w:color w:val="auto"/>
          <w:sz w:val="28"/>
          <w:szCs w:val="28"/>
          <w:shd w:val="clear" w:color="auto" w:fill="auto"/>
          <w:lang w:bidi="ar"/>
        </w:rPr>
      </w:pPr>
      <w:r>
        <w:rPr>
          <w:rFonts w:hint="eastAsia" w:ascii="仿宋" w:hAnsi="仿宋" w:eastAsia="仿宋" w:cs="仿宋"/>
          <w:b/>
          <w:bCs/>
          <w:color w:val="auto"/>
          <w:sz w:val="28"/>
          <w:szCs w:val="28"/>
          <w:shd w:val="clear" w:color="auto" w:fill="auto"/>
          <w:lang w:bidi="ar"/>
        </w:rPr>
        <w:t>表11.</w:t>
      </w:r>
      <w:r>
        <w:rPr>
          <w:rFonts w:ascii="仿宋" w:hAnsi="仿宋" w:eastAsia="仿宋" w:cs="仿宋"/>
          <w:b/>
          <w:bCs/>
          <w:color w:val="auto"/>
          <w:sz w:val="28"/>
          <w:szCs w:val="28"/>
          <w:shd w:val="clear" w:color="auto" w:fill="auto"/>
          <w:lang w:bidi="ar"/>
        </w:rPr>
        <w:t>3</w:t>
      </w:r>
      <w:r>
        <w:rPr>
          <w:rFonts w:hint="eastAsia" w:ascii="仿宋" w:hAnsi="仿宋" w:eastAsia="仿宋" w:cs="仿宋"/>
          <w:b/>
          <w:bCs/>
          <w:color w:val="auto"/>
          <w:sz w:val="28"/>
          <w:szCs w:val="28"/>
          <w:shd w:val="clear" w:color="auto" w:fill="auto"/>
          <w:lang w:bidi="ar"/>
        </w:rPr>
        <w:t xml:space="preserve"> 变电所规划用地面积指标</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2695"/>
        <w:gridCol w:w="2308"/>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trPr>
        <w:tc>
          <w:tcPr>
            <w:tcW w:w="0" w:type="auto"/>
            <w:vMerge w:val="restart"/>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变压等级</w:t>
            </w:r>
            <w:r>
              <w:rPr>
                <w:rFonts w:ascii="仿宋_GB2312" w:hAnsi="仿宋_GB2312" w:eastAsia="仿宋_GB2312" w:cs="仿宋_GB2312"/>
                <w:b/>
                <w:bCs/>
                <w:color w:val="auto"/>
                <w:shd w:val="clear" w:color="auto" w:fill="auto"/>
              </w:rPr>
              <w:t>（</w:t>
            </w:r>
            <w:r>
              <w:rPr>
                <w:rFonts w:hint="eastAsia" w:ascii="仿宋_GB2312" w:hAnsi="仿宋_GB2312" w:eastAsia="仿宋_GB2312" w:cs="仿宋_GB2312"/>
                <w:b/>
                <w:bCs/>
                <w:color w:val="auto"/>
                <w:shd w:val="clear" w:color="auto" w:fill="auto"/>
              </w:rPr>
              <w:t>KV</w:t>
            </w:r>
            <w:r>
              <w:rPr>
                <w:rFonts w:ascii="仿宋_GB2312" w:hAnsi="仿宋_GB2312" w:eastAsia="仿宋_GB2312" w:cs="仿宋_GB2312"/>
                <w:b/>
                <w:bCs/>
                <w:color w:val="auto"/>
                <w:shd w:val="clear" w:color="auto" w:fill="auto"/>
              </w:rPr>
              <w:t>）</w:t>
            </w:r>
          </w:p>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一次电压/二次</w:t>
            </w:r>
            <w:r>
              <w:rPr>
                <w:rFonts w:ascii="仿宋_GB2312" w:hAnsi="仿宋_GB2312" w:eastAsia="仿宋_GB2312" w:cs="仿宋_GB2312"/>
                <w:b/>
                <w:bCs/>
                <w:color w:val="auto"/>
                <w:shd w:val="clear" w:color="auto" w:fill="auto"/>
              </w:rPr>
              <w:t>电压</w:t>
            </w:r>
          </w:p>
        </w:tc>
        <w:tc>
          <w:tcPr>
            <w:tcW w:w="2693" w:type="dxa"/>
            <w:vMerge w:val="restart"/>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主变压器</w:t>
            </w:r>
            <w:r>
              <w:rPr>
                <w:rFonts w:ascii="仿宋_GB2312" w:hAnsi="仿宋_GB2312" w:eastAsia="仿宋_GB2312" w:cs="仿宋_GB2312"/>
                <w:b/>
                <w:bCs/>
                <w:color w:val="auto"/>
                <w:shd w:val="clear" w:color="auto" w:fill="auto"/>
              </w:rPr>
              <w:t>容量</w:t>
            </w:r>
          </w:p>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【KVA/台</w:t>
            </w:r>
            <w:r>
              <w:rPr>
                <w:rFonts w:ascii="仿宋_GB2312" w:hAnsi="仿宋_GB2312" w:eastAsia="仿宋_GB2312" w:cs="仿宋_GB2312"/>
                <w:b/>
                <w:bCs/>
                <w:color w:val="auto"/>
                <w:shd w:val="clear" w:color="auto" w:fill="auto"/>
              </w:rPr>
              <w:t>（</w:t>
            </w:r>
            <w:r>
              <w:rPr>
                <w:rFonts w:hint="eastAsia" w:ascii="仿宋_GB2312" w:hAnsi="仿宋_GB2312" w:eastAsia="仿宋_GB2312" w:cs="仿宋_GB2312"/>
                <w:b/>
                <w:bCs/>
                <w:color w:val="auto"/>
                <w:shd w:val="clear" w:color="auto" w:fill="auto"/>
              </w:rPr>
              <w:t>组</w:t>
            </w:r>
            <w:r>
              <w:rPr>
                <w:rFonts w:ascii="仿宋_GB2312" w:hAnsi="仿宋_GB2312" w:eastAsia="仿宋_GB2312" w:cs="仿宋_GB2312"/>
                <w:b/>
                <w:bCs/>
                <w:color w:val="auto"/>
                <w:shd w:val="clear" w:color="auto" w:fill="auto"/>
              </w:rPr>
              <w:t>）</w:t>
            </w:r>
            <w:r>
              <w:rPr>
                <w:rFonts w:hint="eastAsia" w:ascii="仿宋_GB2312" w:hAnsi="仿宋_GB2312" w:eastAsia="仿宋_GB2312" w:cs="仿宋_GB2312"/>
                <w:b/>
                <w:bCs/>
                <w:color w:val="auto"/>
                <w:shd w:val="clear" w:color="auto" w:fill="auto"/>
              </w:rPr>
              <w:t>】</w:t>
            </w:r>
          </w:p>
        </w:tc>
        <w:tc>
          <w:tcPr>
            <w:tcW w:w="4443" w:type="dxa"/>
            <w:gridSpan w:val="2"/>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变电</w:t>
            </w:r>
            <w:r>
              <w:rPr>
                <w:rFonts w:ascii="仿宋_GB2312" w:hAnsi="仿宋_GB2312" w:eastAsia="仿宋_GB2312" w:cs="仿宋_GB2312"/>
                <w:b/>
                <w:bCs/>
                <w:color w:val="auto"/>
                <w:shd w:val="clear" w:color="auto" w:fill="auto"/>
              </w:rPr>
              <w:t>所结构形式及用地面积（</w:t>
            </w:r>
            <w:r>
              <w:rPr>
                <w:rFonts w:hint="eastAsia" w:ascii="仿宋_GB2312" w:hAnsi="仿宋_GB2312" w:eastAsia="仿宋_GB2312" w:cs="仿宋_GB2312"/>
                <w:b/>
                <w:bCs/>
                <w:color w:val="auto"/>
                <w:shd w:val="clear" w:color="auto" w:fill="auto"/>
              </w:rPr>
              <w:t>㎡</w:t>
            </w:r>
            <w:r>
              <w:rPr>
                <w:rFonts w:ascii="仿宋_GB2312" w:hAnsi="仿宋_GB2312" w:eastAsia="仿宋_GB2312" w:cs="仿宋_GB2312"/>
                <w:b/>
                <w:bCs/>
                <w:color w:val="auto"/>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p>
        </w:tc>
        <w:tc>
          <w:tcPr>
            <w:tcW w:w="2693" w:type="dxa"/>
            <w:vMerge w:val="continue"/>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p>
        </w:tc>
        <w:tc>
          <w:tcPr>
            <w:tcW w:w="2307" w:type="dxa"/>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户外式用地</w:t>
            </w:r>
            <w:r>
              <w:rPr>
                <w:rFonts w:ascii="仿宋_GB2312" w:hAnsi="仿宋_GB2312" w:eastAsia="仿宋_GB2312" w:cs="仿宋_GB2312"/>
                <w:b/>
                <w:bCs/>
                <w:color w:val="auto"/>
                <w:shd w:val="clear" w:color="auto" w:fill="auto"/>
              </w:rPr>
              <w:t>面积</w:t>
            </w:r>
          </w:p>
        </w:tc>
        <w:tc>
          <w:tcPr>
            <w:tcW w:w="0" w:type="auto"/>
            <w:vAlign w:val="center"/>
          </w:tcPr>
          <w:p>
            <w:pPr>
              <w:pStyle w:val="11"/>
              <w:widowControl/>
              <w:tabs>
                <w:tab w:val="left" w:pos="0"/>
              </w:tabs>
              <w:spacing w:beforeAutospacing="0" w:afterAutospacing="0"/>
              <w:jc w:val="center"/>
              <w:rPr>
                <w:rFonts w:ascii="仿宋_GB2312" w:hAnsi="仿宋_GB2312" w:eastAsia="仿宋_GB2312" w:cs="仿宋_GB2312"/>
                <w:b/>
                <w:bCs/>
                <w:color w:val="auto"/>
                <w:shd w:val="clear" w:color="auto" w:fill="auto"/>
              </w:rPr>
            </w:pPr>
            <w:r>
              <w:rPr>
                <w:rFonts w:hint="eastAsia" w:ascii="仿宋_GB2312" w:hAnsi="仿宋_GB2312" w:eastAsia="仿宋_GB2312" w:cs="仿宋_GB2312"/>
                <w:b/>
                <w:bCs/>
                <w:color w:val="auto"/>
                <w:shd w:val="clear" w:color="auto" w:fill="auto"/>
              </w:rPr>
              <w:t>半户外式</w:t>
            </w:r>
            <w:r>
              <w:rPr>
                <w:rFonts w:ascii="仿宋_GB2312" w:hAnsi="仿宋_GB2312" w:eastAsia="仿宋_GB2312" w:cs="仿宋_GB2312"/>
                <w:b/>
                <w:bCs/>
                <w:color w:val="auto"/>
                <w:shd w:val="clear" w:color="auto" w:fill="auto"/>
              </w:rPr>
              <w:t>用地面积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hint="eastAsia" w:ascii="仿宋_GB2312" w:hAnsi="仿宋_GB2312" w:eastAsia="仿宋_GB2312" w:cs="仿宋_GB2312"/>
                <w:color w:val="auto"/>
                <w:shd w:val="clear" w:color="auto" w:fill="auto"/>
              </w:rPr>
              <w:t>110（66/10）</w:t>
            </w:r>
          </w:p>
        </w:tc>
        <w:tc>
          <w:tcPr>
            <w:tcW w:w="2693" w:type="dxa"/>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hint="eastAsia" w:ascii="仿宋_GB2312" w:hAnsi="仿宋_GB2312" w:eastAsia="仿宋_GB2312" w:cs="仿宋_GB2312"/>
                <w:color w:val="auto"/>
                <w:shd w:val="clear" w:color="auto" w:fill="auto"/>
              </w:rPr>
              <w:t>20～63/2～3</w:t>
            </w:r>
          </w:p>
        </w:tc>
        <w:tc>
          <w:tcPr>
            <w:tcW w:w="2307" w:type="dxa"/>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ascii="仿宋_GB2312" w:hAnsi="仿宋_GB2312" w:eastAsia="仿宋_GB2312" w:cs="仿宋_GB2312"/>
                <w:color w:val="auto"/>
                <w:shd w:val="clear" w:color="auto" w:fill="auto"/>
              </w:rPr>
              <w:t>3500</w:t>
            </w:r>
            <w:r>
              <w:rPr>
                <w:rFonts w:hint="eastAsia" w:ascii="仿宋_GB2312" w:hAnsi="仿宋_GB2312" w:eastAsia="仿宋_GB2312" w:cs="仿宋_GB2312"/>
                <w:color w:val="auto"/>
                <w:shd w:val="clear" w:color="auto" w:fill="auto"/>
              </w:rPr>
              <w:t>～</w:t>
            </w:r>
            <w:r>
              <w:rPr>
                <w:rFonts w:ascii="仿宋_GB2312" w:hAnsi="仿宋_GB2312" w:eastAsia="仿宋_GB2312" w:cs="仿宋_GB2312"/>
                <w:color w:val="auto"/>
                <w:shd w:val="clear" w:color="auto" w:fill="auto"/>
              </w:rPr>
              <w:t>5500</w:t>
            </w:r>
          </w:p>
        </w:tc>
        <w:tc>
          <w:tcPr>
            <w:tcW w:w="0" w:type="auto"/>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ascii="仿宋_GB2312" w:hAnsi="仿宋_GB2312" w:eastAsia="仿宋_GB2312" w:cs="仿宋_GB2312"/>
                <w:color w:val="auto"/>
                <w:shd w:val="clear" w:color="auto" w:fill="auto"/>
              </w:rPr>
              <w:t>1500</w:t>
            </w:r>
            <w:r>
              <w:rPr>
                <w:rFonts w:hint="eastAsia" w:ascii="仿宋_GB2312" w:hAnsi="仿宋_GB2312" w:eastAsia="仿宋_GB2312" w:cs="仿宋_GB2312"/>
                <w:color w:val="auto"/>
                <w:shd w:val="clear" w:color="auto" w:fill="auto"/>
              </w:rPr>
              <w:t>～</w:t>
            </w:r>
            <w:r>
              <w:rPr>
                <w:rFonts w:ascii="仿宋_GB2312" w:hAnsi="仿宋_GB2312" w:eastAsia="仿宋_GB2312" w:cs="仿宋_GB2312"/>
                <w:color w:val="auto"/>
                <w:shd w:val="clear" w:color="auto" w:fill="auto"/>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hint="eastAsia" w:ascii="仿宋_GB2312" w:hAnsi="仿宋_GB2312" w:eastAsia="仿宋_GB2312" w:cs="仿宋_GB2312"/>
                <w:color w:val="auto"/>
                <w:shd w:val="clear" w:color="auto" w:fill="auto"/>
              </w:rPr>
              <w:t>35/10</w:t>
            </w:r>
          </w:p>
        </w:tc>
        <w:tc>
          <w:tcPr>
            <w:tcW w:w="2693" w:type="dxa"/>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ascii="仿宋_GB2312" w:hAnsi="仿宋_GB2312" w:eastAsia="仿宋_GB2312" w:cs="仿宋_GB2312"/>
                <w:color w:val="auto"/>
                <w:shd w:val="clear" w:color="auto" w:fill="auto"/>
              </w:rPr>
              <w:t>5.6</w:t>
            </w:r>
            <w:r>
              <w:rPr>
                <w:rFonts w:hint="eastAsia" w:ascii="仿宋_GB2312" w:hAnsi="仿宋_GB2312" w:eastAsia="仿宋_GB2312" w:cs="仿宋_GB2312"/>
                <w:color w:val="auto"/>
                <w:shd w:val="clear" w:color="auto" w:fill="auto"/>
              </w:rPr>
              <w:t>～</w:t>
            </w:r>
            <w:r>
              <w:rPr>
                <w:rFonts w:ascii="仿宋_GB2312" w:hAnsi="仿宋_GB2312" w:eastAsia="仿宋_GB2312" w:cs="仿宋_GB2312"/>
                <w:color w:val="auto"/>
                <w:shd w:val="clear" w:color="auto" w:fill="auto"/>
              </w:rPr>
              <w:t>31.5</w:t>
            </w:r>
            <w:r>
              <w:rPr>
                <w:rFonts w:hint="eastAsia" w:ascii="仿宋_GB2312" w:hAnsi="仿宋_GB2312" w:eastAsia="仿宋_GB2312" w:cs="仿宋_GB2312"/>
                <w:color w:val="auto"/>
                <w:shd w:val="clear" w:color="auto" w:fill="auto"/>
              </w:rPr>
              <w:t>/2～3</w:t>
            </w:r>
          </w:p>
        </w:tc>
        <w:tc>
          <w:tcPr>
            <w:tcW w:w="2307" w:type="dxa"/>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ascii="仿宋_GB2312" w:hAnsi="仿宋_GB2312" w:eastAsia="仿宋_GB2312" w:cs="仿宋_GB2312"/>
                <w:color w:val="auto"/>
                <w:shd w:val="clear" w:color="auto" w:fill="auto"/>
              </w:rPr>
              <w:t>2000</w:t>
            </w:r>
            <w:r>
              <w:rPr>
                <w:rFonts w:hint="eastAsia" w:ascii="仿宋_GB2312" w:hAnsi="仿宋_GB2312" w:eastAsia="仿宋_GB2312" w:cs="仿宋_GB2312"/>
                <w:color w:val="auto"/>
                <w:shd w:val="clear" w:color="auto" w:fill="auto"/>
              </w:rPr>
              <w:t>～</w:t>
            </w:r>
            <w:r>
              <w:rPr>
                <w:rFonts w:ascii="仿宋_GB2312" w:hAnsi="仿宋_GB2312" w:eastAsia="仿宋_GB2312" w:cs="仿宋_GB2312"/>
                <w:color w:val="auto"/>
                <w:shd w:val="clear" w:color="auto" w:fill="auto"/>
              </w:rPr>
              <w:t>3500</w:t>
            </w:r>
          </w:p>
        </w:tc>
        <w:tc>
          <w:tcPr>
            <w:tcW w:w="0" w:type="auto"/>
            <w:vAlign w:val="center"/>
          </w:tcPr>
          <w:p>
            <w:pPr>
              <w:pStyle w:val="11"/>
              <w:widowControl/>
              <w:tabs>
                <w:tab w:val="left" w:pos="0"/>
              </w:tabs>
              <w:spacing w:beforeAutospacing="0" w:afterAutospacing="0"/>
              <w:jc w:val="center"/>
              <w:rPr>
                <w:rFonts w:ascii="仿宋_GB2312" w:hAnsi="仿宋_GB2312" w:eastAsia="仿宋_GB2312" w:cs="仿宋_GB2312"/>
                <w:color w:val="auto"/>
                <w:shd w:val="clear" w:color="auto" w:fill="auto"/>
              </w:rPr>
            </w:pPr>
            <w:r>
              <w:rPr>
                <w:rFonts w:ascii="仿宋_GB2312" w:hAnsi="仿宋_GB2312" w:eastAsia="仿宋_GB2312" w:cs="仿宋_GB2312"/>
                <w:color w:val="auto"/>
                <w:shd w:val="clear" w:color="auto" w:fill="auto"/>
              </w:rPr>
              <w:t>1000</w:t>
            </w:r>
            <w:r>
              <w:rPr>
                <w:rFonts w:hint="eastAsia" w:ascii="仿宋_GB2312" w:hAnsi="仿宋_GB2312" w:eastAsia="仿宋_GB2312" w:cs="仿宋_GB2312"/>
                <w:color w:val="auto"/>
                <w:shd w:val="clear" w:color="auto" w:fill="auto"/>
              </w:rPr>
              <w:t>～</w:t>
            </w:r>
            <w:r>
              <w:rPr>
                <w:rFonts w:ascii="仿宋_GB2312" w:hAnsi="仿宋_GB2312" w:eastAsia="仿宋_GB2312" w:cs="仿宋_GB2312"/>
                <w:color w:val="auto"/>
                <w:shd w:val="clear" w:color="auto" w:fill="auto"/>
              </w:rPr>
              <w:t>2000</w:t>
            </w:r>
          </w:p>
        </w:tc>
      </w:tr>
    </w:tbl>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通信</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镇区通信线路宜采用埋地管道敷设，应避开易受洪水淹没、河岸塌陷、土坡塌方以及有严重污染的地区；应便于架设、巡察和检修；宜设在电力线走向的道路另一侧。</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邮政局（所）址的选择应利于邮件运输、方便用户使用。广播、电视线路应与电信线路统筹规划。</w:t>
      </w:r>
    </w:p>
    <w:p>
      <w:pPr>
        <w:pStyle w:val="11"/>
        <w:widowControl/>
        <w:numPr>
          <w:ilvl w:val="1"/>
          <w:numId w:val="4"/>
        </w:numPr>
        <w:shd w:val="clear" w:color="auto" w:fill="FFFFFF"/>
        <w:spacing w:beforeAutospacing="0" w:afterAutospacing="0" w:line="360" w:lineRule="auto"/>
        <w:ind w:firstLine="600" w:firstLineChars="200"/>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 xml:space="preserve"> 燃气</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液化石油气供应基地的站址应选择在地势平坦开阔和全年最小频率风向的上风侧，并应避开地震带和雷区等地段。瓶装供应站一般供应5000～7000户，不宜超过10000户。</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供应基地和瓶装供应站的位置与镇区各项用地和设施的安全防护距离应符合现行国家标准《城镇燃气设计规范》（GB 50028-2006）（2020年版）的有关规定。</w:t>
      </w:r>
    </w:p>
    <w:p>
      <w:pPr>
        <w:pStyle w:val="11"/>
        <w:widowControl/>
        <w:numPr>
          <w:ilvl w:val="1"/>
          <w:numId w:val="4"/>
        </w:numPr>
        <w:shd w:val="clear" w:color="auto" w:fill="FFFFFF"/>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环境卫生</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镇环境卫生应符合现行国家标准《村镇规划卫生标准》（GB l8055-2012）的有关规定。</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镇区垃圾应逐步实现分类收集、封闭运输、无害化处理和资源化利用。垃圾转运站宜设置在靠近服务区域的中心或垃圾产量集中和交通方便的地方。</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镇区应设置环卫站，并在主要街道两侧、公共设施以及市场、公园和旅游景点等人群密集场所宜设置节水型公共厕所。</w:t>
      </w:r>
    </w:p>
    <w:p>
      <w:pPr>
        <w:pStyle w:val="3"/>
        <w:spacing w:before="156" w:beforeLines="50" w:after="0" w:line="240" w:lineRule="auto"/>
        <w:jc w:val="center"/>
        <w:rPr>
          <w:b w:val="0"/>
          <w:bCs/>
          <w:color w:val="auto"/>
          <w:shd w:val="clear" w:color="auto" w:fill="auto"/>
          <w:lang w:val="zh-CN"/>
        </w:rPr>
      </w:pPr>
      <w:bookmarkStart w:id="56" w:name="_TOC_250007"/>
      <w:bookmarkEnd w:id="56"/>
      <w:bookmarkStart w:id="57" w:name="_Toc25454"/>
      <w:r>
        <w:rPr>
          <w:rFonts w:hint="eastAsia"/>
          <w:b w:val="0"/>
          <w:bCs/>
          <w:color w:val="auto"/>
          <w:shd w:val="clear" w:color="auto" w:fill="auto"/>
          <w:lang w:val="zh-CN"/>
        </w:rPr>
        <w:t>第五节  综合防灾</w:t>
      </w:r>
      <w:bookmarkEnd w:id="57"/>
    </w:p>
    <w:p>
      <w:pPr>
        <w:pStyle w:val="11"/>
        <w:widowControl/>
        <w:numPr>
          <w:ilvl w:val="1"/>
          <w:numId w:val="4"/>
        </w:numPr>
        <w:shd w:val="clear" w:color="auto" w:fill="FFFFFF"/>
        <w:spacing w:beforeAutospacing="0" w:afterAutospacing="0" w:line="360" w:lineRule="auto"/>
        <w:ind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消防</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乡镇消防队分为乡镇专职消防队和乡镇志愿消防队两类。乡镇专职消防队分为一级乡镇专职消防队和二级专职消防队。</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 xml:space="preserve">乡镇消防队的建设用地面积，应根据建筑占地面积、绿地、道路和室外训练场地面积等确定。应符合下列规定： </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一级乡镇专职消防队1000～1200平方米；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二级乡镇专职消防队700～850平方米；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乡镇志愿消防队350～500平方米。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注：当设有《乡镇消防队》(GB/T35547-2017）中规定用地时，可适当增加建设用地面积。</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乡镇消防队应设在辖区内的适中位置和便于车辆迅速出动的临街地段,并宜设在独立的院落内。</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消防队的消防车辆出入口两侧宜设置交通信号灯、标志、标线或隔离设施，距医院、学校、幼儿园托儿所、影剧院、商场、体育场馆、展览馆等公共建筑的主要疏散出口和公交站台以及加油站、加气站等易燃易爆危险场所的距离不应小100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乡镇消防队辖区内有生产、贮存危险化学品单位的，乡镇消防队应设置在常年主导风向的上风或侧风处,其边界距生产贮存危险化学品单位不宜小于300米。</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乡镇消防队的消防车库门应朝向道路并后退红线不小于12米,满足消防车辆的转弯半径要求。</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乡镇消防队的消防车出动通道不应为上坡。</w:t>
      </w:r>
    </w:p>
    <w:p>
      <w:pPr>
        <w:pStyle w:val="11"/>
        <w:widowControl/>
        <w:numPr>
          <w:ilvl w:val="1"/>
          <w:numId w:val="4"/>
        </w:numPr>
        <w:shd w:val="clear" w:color="auto" w:fill="FFFFFF"/>
        <w:spacing w:beforeAutospacing="0" w:afterAutospacing="0" w:line="360" w:lineRule="auto"/>
        <w:ind w:left="0"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防洪</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防洪标准应符合《防洪标准》(GB50201-2014）及相关规定。</w:t>
      </w:r>
    </w:p>
    <w:p>
      <w:pPr>
        <w:pStyle w:val="11"/>
        <w:widowControl/>
        <w:numPr>
          <w:ilvl w:val="1"/>
          <w:numId w:val="4"/>
        </w:numPr>
        <w:shd w:val="clear" w:color="auto" w:fill="FFFFFF"/>
        <w:spacing w:beforeAutospacing="0" w:afterAutospacing="0" w:line="360" w:lineRule="auto"/>
        <w:ind w:left="0" w:firstLine="600" w:firstLineChars="200"/>
        <w:jc w:val="both"/>
        <w:rPr>
          <w:rFonts w:ascii="仿宋_GB2312" w:hAnsi="仿宋_GB2312" w:eastAsia="仿宋_GB2312" w:cs="仿宋_GB2312"/>
          <w:color w:val="auto"/>
          <w:sz w:val="30"/>
          <w:szCs w:val="30"/>
          <w:shd w:val="clear" w:color="auto" w:fill="auto"/>
          <w:lang w:bidi="ar"/>
        </w:rPr>
      </w:pPr>
      <w:r>
        <w:rPr>
          <w:rFonts w:hint="eastAsia" w:ascii="仿宋_GB2312" w:hAnsi="仿宋_GB2312" w:eastAsia="仿宋_GB2312" w:cs="仿宋_GB2312"/>
          <w:color w:val="auto"/>
          <w:sz w:val="30"/>
          <w:szCs w:val="30"/>
          <w:shd w:val="clear" w:color="auto" w:fill="auto"/>
          <w:lang w:bidi="ar"/>
        </w:rPr>
        <w:t>抗震防灾</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镇抗震防灾标准应按《中国地震动参数区划图》(GB 18306）和《建筑抗震设计规范》（GB50011-2010）（2016版）的有关规定。</w:t>
      </w:r>
    </w:p>
    <w:p>
      <w:pPr>
        <w:pStyle w:val="11"/>
        <w:widowControl/>
        <w:shd w:val="clear" w:color="auto" w:fill="FFFFFF"/>
        <w:tabs>
          <w:tab w:val="left" w:pos="0"/>
        </w:tabs>
        <w:spacing w:beforeAutospacing="0" w:afterAutospacing="0"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在生命线工程和重要设施规划设计时，道路、供水、供电等工程应采取环网布置方式，人员密集的地段应设置不同方向的四个出入口，抗震防灾指挥机构应设置备用电源。</w:t>
      </w:r>
    </w:p>
    <w:p>
      <w:pPr>
        <w:spacing w:line="360" w:lineRule="auto"/>
        <w:ind w:firstLine="600" w:firstLineChars="200"/>
        <w:jc w:val="both"/>
        <w:rPr>
          <w:rFonts w:ascii="仿宋" w:hAnsi="仿宋" w:eastAsia="仿宋" w:cs="仿宋"/>
          <w:color w:val="auto"/>
          <w:sz w:val="30"/>
          <w:szCs w:val="30"/>
          <w:shd w:val="clear" w:color="auto" w:fill="auto"/>
          <w:lang w:bidi="ar"/>
        </w:rPr>
      </w:pPr>
      <w:r>
        <w:rPr>
          <w:rFonts w:hint="eastAsia" w:ascii="仿宋" w:hAnsi="仿宋" w:eastAsia="仿宋" w:cs="仿宋"/>
          <w:color w:val="auto"/>
          <w:sz w:val="30"/>
          <w:szCs w:val="30"/>
          <w:shd w:val="clear" w:color="auto" w:fill="auto"/>
          <w:lang w:bidi="ar"/>
        </w:rPr>
        <w:t>生产和贮存具有发生地震的次生灾害源的村镇应采取防止灾害蔓延的措施，人员密集活动区不得建有次生灾害源的工程。</w:t>
      </w:r>
    </w:p>
    <w:p>
      <w:pPr>
        <w:pStyle w:val="2"/>
        <w:numPr>
          <w:ilvl w:val="0"/>
          <w:numId w:val="0"/>
        </w:numPr>
        <w:bidi w:val="0"/>
        <w:jc w:val="both"/>
        <w:outlineLvl w:val="0"/>
        <w:rPr>
          <w:rFonts w:hint="eastAsia"/>
          <w:color w:val="auto"/>
          <w:sz w:val="36"/>
          <w:szCs w:val="36"/>
          <w:shd w:val="clear" w:color="auto" w:fill="auto"/>
          <w:lang w:val="en-US" w:eastAsia="zh-CN"/>
        </w:rPr>
      </w:pPr>
      <w:bookmarkStart w:id="58" w:name="_Toc21374"/>
    </w:p>
    <w:p>
      <w:pPr>
        <w:pStyle w:val="2"/>
        <w:numPr>
          <w:ilvl w:val="0"/>
          <w:numId w:val="3"/>
        </w:numPr>
        <w:bidi w:val="0"/>
        <w:jc w:val="center"/>
        <w:rPr>
          <w:rFonts w:hint="eastAsia"/>
          <w:color w:val="auto"/>
          <w:sz w:val="36"/>
          <w:szCs w:val="36"/>
          <w:shd w:val="clear" w:color="auto" w:fill="auto"/>
          <w:lang w:val="en-US" w:eastAsia="zh-CN"/>
        </w:rPr>
      </w:pPr>
      <w:bookmarkStart w:id="59" w:name="_Toc15666"/>
      <w:r>
        <w:rPr>
          <w:rFonts w:hint="eastAsia"/>
          <w:color w:val="auto"/>
          <w:sz w:val="36"/>
          <w:szCs w:val="36"/>
          <w:shd w:val="clear" w:color="auto" w:fill="auto"/>
          <w:lang w:val="en-US" w:eastAsia="zh-CN"/>
        </w:rPr>
        <w:t>附  则</w:t>
      </w:r>
      <w:bookmarkEnd w:id="58"/>
      <w:bookmarkEnd w:id="59"/>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textAlignment w:val="auto"/>
        <w:rPr>
          <w:rFonts w:hint="eastAsia" w:ascii="仿宋_GB2312" w:hAnsi="仿宋_GB2312" w:eastAsia="仿宋_GB2312" w:cs="仿宋_GB2312"/>
          <w:color w:val="auto"/>
          <w:sz w:val="30"/>
          <w:szCs w:val="30"/>
          <w:shd w:val="clear" w:color="auto" w:fill="auto"/>
          <w:lang w:val="zh-CN" w:eastAsia="zh-CN" w:bidi="ar"/>
        </w:rPr>
      </w:pPr>
      <w:r>
        <w:rPr>
          <w:rFonts w:hint="eastAsia" w:ascii="仿宋_GB2312" w:hAnsi="仿宋_GB2312" w:eastAsia="仿宋_GB2312" w:cs="仿宋_GB2312"/>
          <w:color w:val="auto"/>
          <w:sz w:val="30"/>
          <w:szCs w:val="30"/>
          <w:shd w:val="clear" w:color="auto" w:fill="auto"/>
          <w:lang w:val="en-US" w:eastAsia="zh-CN" w:bidi="ar"/>
        </w:rPr>
        <w:t>各项工程建设应按经批准的详细规划执行。此前已审定的修建性详细规划和建筑方案、已取得的规划条件书中的约定内容并在其有效期内的建设工程仍按原审批的内容执行，但于本规定施行之日后对规划条件进行了修改或变更的项目，其变更内容则按本规定执行。</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textAlignment w:val="auto"/>
        <w:rPr>
          <w:rFonts w:hint="default" w:ascii="仿宋_GB2312" w:hAnsi="仿宋_GB2312" w:eastAsia="仿宋_GB2312" w:cs="仿宋_GB2312"/>
          <w:color w:val="auto"/>
          <w:sz w:val="30"/>
          <w:szCs w:val="30"/>
          <w:shd w:val="clear" w:color="auto" w:fill="auto"/>
          <w:lang w:val="en-US" w:eastAsia="zh-CN" w:bidi="ar"/>
        </w:rPr>
      </w:pPr>
      <w:r>
        <w:rPr>
          <w:rFonts w:hint="eastAsia" w:ascii="仿宋_GB2312" w:hAnsi="仿宋_GB2312" w:eastAsia="仿宋_GB2312" w:cs="仿宋_GB2312"/>
          <w:color w:val="auto"/>
          <w:sz w:val="30"/>
          <w:szCs w:val="30"/>
          <w:shd w:val="clear" w:color="auto" w:fill="auto"/>
          <w:lang w:val="en-US" w:eastAsia="zh-CN" w:bidi="ar"/>
        </w:rPr>
        <w:t>因建设用地条件、周边建设环境导致设计</w:t>
      </w:r>
      <w:bookmarkStart w:id="72" w:name="_GoBack"/>
      <w:bookmarkEnd w:id="72"/>
      <w:r>
        <w:rPr>
          <w:rFonts w:hint="eastAsia" w:ascii="仿宋_GB2312" w:hAnsi="仿宋_GB2312" w:eastAsia="仿宋_GB2312" w:cs="仿宋_GB2312"/>
          <w:color w:val="auto"/>
          <w:sz w:val="30"/>
          <w:szCs w:val="30"/>
          <w:shd w:val="clear" w:color="auto" w:fill="auto"/>
          <w:lang w:val="en-US" w:eastAsia="zh-CN" w:bidi="ar"/>
        </w:rPr>
        <w:t>极度困难，或涉及社会稳定、公共利益等原因，确实难以满足本规定的要求，但满足国家相关规范规定要求的建设项目，其设计方案可经自然资源主管部门同意，专家评审会通过，并组织进行公示且无异议后，报县级以上人民政府审定。</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textAlignment w:val="auto"/>
        <w:rPr>
          <w:rFonts w:hint="default" w:ascii="仿宋_GB2312" w:hAnsi="仿宋_GB2312" w:eastAsia="仿宋_GB2312" w:cs="仿宋_GB2312"/>
          <w:color w:val="auto"/>
          <w:sz w:val="30"/>
          <w:szCs w:val="30"/>
          <w:shd w:val="clear" w:color="auto" w:fill="auto"/>
          <w:lang w:val="en-US" w:eastAsia="zh-CN" w:bidi="ar"/>
        </w:rPr>
      </w:pPr>
      <w:r>
        <w:rPr>
          <w:rFonts w:hint="eastAsia" w:ascii="仿宋_GB2312" w:hAnsi="仿宋_GB2312" w:eastAsia="仿宋_GB2312" w:cs="仿宋_GB2312"/>
          <w:color w:val="auto"/>
          <w:sz w:val="30"/>
          <w:szCs w:val="30"/>
          <w:shd w:val="clear" w:color="auto" w:fill="auto"/>
          <w:lang w:val="en-US" w:eastAsia="zh-CN" w:bidi="ar"/>
        </w:rPr>
        <w:t>本规定中工程建设项目计算规则按照《湘西州工程建设项目全流程“多测合一”技术规定（试行）》执行。</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textAlignment w:val="auto"/>
        <w:rPr>
          <w:rFonts w:hint="default" w:ascii="仿宋_GB2312" w:hAnsi="仿宋_GB2312" w:eastAsia="仿宋_GB2312" w:cs="仿宋_GB2312"/>
          <w:color w:val="auto"/>
          <w:sz w:val="30"/>
          <w:szCs w:val="30"/>
          <w:shd w:val="clear" w:color="auto" w:fill="auto"/>
          <w:lang w:val="en-US" w:eastAsia="zh-CN" w:bidi="ar"/>
        </w:rPr>
      </w:pPr>
      <w:r>
        <w:rPr>
          <w:rFonts w:hint="eastAsia" w:ascii="仿宋_GB2312" w:hAnsi="仿宋_GB2312" w:eastAsia="仿宋_GB2312" w:cs="仿宋_GB2312"/>
          <w:color w:val="auto"/>
          <w:sz w:val="30"/>
          <w:szCs w:val="30"/>
          <w:shd w:val="clear" w:color="auto" w:fill="auto"/>
          <w:lang w:val="en-US" w:eastAsia="zh-CN" w:bidi="ar"/>
        </w:rPr>
        <w:t>本规定所涉及的内容应考虑智慧城市建设及无障碍环境建设的相关引导性要求。</w:t>
      </w:r>
    </w:p>
    <w:p>
      <w:pPr>
        <w:pStyle w:val="11"/>
        <w:keepNext w:val="0"/>
        <w:keepLines w:val="0"/>
        <w:pageBreakBefore w:val="0"/>
        <w:widowControl/>
        <w:numPr>
          <w:ilvl w:val="1"/>
          <w:numId w:val="4"/>
        </w:numPr>
        <w:shd w:val="clear" w:color="auto" w:fill="FFFFFF"/>
        <w:kinsoku/>
        <w:wordWrap/>
        <w:overflowPunct/>
        <w:topLinePunct w:val="0"/>
        <w:autoSpaceDE/>
        <w:autoSpaceDN/>
        <w:bidi w:val="0"/>
        <w:adjustRightInd/>
        <w:snapToGrid/>
        <w:spacing w:beforeAutospacing="0" w:afterAutospacing="0" w:line="360" w:lineRule="auto"/>
        <w:ind w:left="0" w:firstLine="600" w:firstLineChars="200"/>
        <w:textAlignment w:val="auto"/>
        <w:rPr>
          <w:rFonts w:hint="eastAsia" w:ascii="仿宋_GB2312" w:hAnsi="仿宋_GB2312" w:eastAsia="仿宋_GB2312" w:cs="仿宋_GB2312"/>
          <w:color w:val="auto"/>
          <w:sz w:val="30"/>
          <w:szCs w:val="30"/>
          <w:shd w:val="clear" w:color="auto" w:fill="auto"/>
          <w:lang w:val="zh-CN" w:eastAsia="zh-CN" w:bidi="ar"/>
        </w:rPr>
      </w:pPr>
      <w:r>
        <w:rPr>
          <w:rFonts w:hint="eastAsia" w:ascii="仿宋_GB2312" w:hAnsi="仿宋_GB2312" w:eastAsia="仿宋_GB2312" w:cs="仿宋_GB2312"/>
          <w:color w:val="auto"/>
          <w:sz w:val="30"/>
          <w:szCs w:val="30"/>
          <w:shd w:val="clear" w:color="auto" w:fill="auto"/>
          <w:lang w:val="en-US" w:eastAsia="zh-CN" w:bidi="ar"/>
        </w:rPr>
        <w:t>《湘西自治州城镇规划管理技术规定》</w:t>
      </w:r>
      <w:r>
        <w:rPr>
          <w:rFonts w:hint="default" w:ascii="仿宋_GB2312" w:hAnsi="仿宋_GB2312" w:eastAsia="仿宋_GB2312" w:cs="仿宋_GB2312"/>
          <w:color w:val="auto"/>
          <w:sz w:val="30"/>
          <w:szCs w:val="30"/>
          <w:shd w:val="clear" w:color="auto" w:fill="auto"/>
          <w:lang w:val="en-US" w:eastAsia="zh-CN" w:bidi="ar"/>
        </w:rPr>
        <w:t>由</w:t>
      </w:r>
      <w:r>
        <w:rPr>
          <w:rFonts w:hint="eastAsia" w:ascii="仿宋_GB2312" w:hAnsi="仿宋_GB2312" w:eastAsia="仿宋_GB2312" w:cs="仿宋_GB2312"/>
          <w:color w:val="auto"/>
          <w:sz w:val="30"/>
          <w:szCs w:val="30"/>
          <w:shd w:val="clear" w:color="auto" w:fill="auto"/>
          <w:lang w:val="en-US" w:eastAsia="zh-CN" w:bidi="ar"/>
        </w:rPr>
        <w:t>州</w:t>
      </w:r>
      <w:r>
        <w:rPr>
          <w:rFonts w:hint="default" w:ascii="仿宋_GB2312" w:hAnsi="仿宋_GB2312" w:eastAsia="仿宋_GB2312" w:cs="仿宋_GB2312"/>
          <w:color w:val="auto"/>
          <w:sz w:val="30"/>
          <w:szCs w:val="30"/>
          <w:shd w:val="clear" w:color="auto" w:fill="auto"/>
          <w:lang w:val="en-US" w:eastAsia="zh-CN" w:bidi="ar"/>
        </w:rPr>
        <w:t>自然资源</w:t>
      </w:r>
      <w:r>
        <w:rPr>
          <w:rFonts w:hint="eastAsia" w:ascii="仿宋_GB2312" w:hAnsi="仿宋_GB2312" w:eastAsia="仿宋_GB2312" w:cs="仿宋_GB2312"/>
          <w:color w:val="auto"/>
          <w:sz w:val="30"/>
          <w:szCs w:val="30"/>
          <w:shd w:val="clear" w:color="auto" w:fill="auto"/>
          <w:lang w:val="en-US" w:eastAsia="zh-CN" w:bidi="ar"/>
        </w:rPr>
        <w:t>和</w:t>
      </w:r>
      <w:r>
        <w:rPr>
          <w:rFonts w:hint="default" w:ascii="仿宋_GB2312" w:hAnsi="仿宋_GB2312" w:eastAsia="仿宋_GB2312" w:cs="仿宋_GB2312"/>
          <w:color w:val="auto"/>
          <w:sz w:val="30"/>
          <w:szCs w:val="30"/>
          <w:shd w:val="clear" w:color="auto" w:fill="auto"/>
          <w:lang w:val="en-US" w:eastAsia="zh-CN" w:bidi="ar"/>
        </w:rPr>
        <w:t>规划局负责解释相关工作。</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bidi="ar"/>
        </w:rPr>
      </w:pPr>
      <w:r>
        <w:rPr>
          <w:rFonts w:hint="eastAsia" w:ascii="仿宋_GB2312" w:hAnsi="仿宋_GB2312" w:eastAsia="仿宋_GB2312" w:cs="仿宋_GB2312"/>
          <w:color w:val="auto"/>
          <w:sz w:val="30"/>
          <w:szCs w:val="30"/>
          <w:shd w:val="clear" w:color="auto" w:fill="auto"/>
          <w:lang w:val="en-US" w:eastAsia="zh-CN" w:bidi="ar"/>
        </w:rPr>
        <w:t>本规定自印发之日起施行。《湘西自治州城镇规划管理技术规定</w:t>
      </w:r>
      <w:r>
        <w:rPr>
          <w:rFonts w:hint="default" w:ascii="仿宋_GB2312" w:hAnsi="仿宋_GB2312" w:eastAsia="仿宋_GB2312" w:cs="仿宋_GB2312"/>
          <w:color w:val="auto"/>
          <w:sz w:val="30"/>
          <w:szCs w:val="30"/>
          <w:shd w:val="clear" w:color="auto" w:fill="auto"/>
          <w:lang w:val="en-US" w:eastAsia="zh-CN" w:bidi="ar"/>
        </w:rPr>
        <w:t>》</w:t>
      </w:r>
      <w:r>
        <w:rPr>
          <w:rFonts w:hint="eastAsia" w:ascii="仿宋_GB2312" w:hAnsi="仿宋_GB2312" w:eastAsia="仿宋_GB2312" w:cs="仿宋_GB2312"/>
          <w:color w:val="auto"/>
          <w:sz w:val="30"/>
          <w:szCs w:val="30"/>
          <w:shd w:val="clear" w:color="auto" w:fill="auto"/>
          <w:lang w:val="en-US" w:eastAsia="zh-CN" w:bidi="ar"/>
        </w:rPr>
        <w:t>（</w:t>
      </w:r>
      <w:r>
        <w:rPr>
          <w:rFonts w:hint="default" w:ascii="仿宋_GB2312" w:hAnsi="仿宋_GB2312" w:eastAsia="仿宋_GB2312" w:cs="仿宋_GB2312"/>
          <w:color w:val="auto"/>
          <w:sz w:val="30"/>
          <w:szCs w:val="30"/>
          <w:shd w:val="clear" w:color="auto" w:fill="auto"/>
          <w:lang w:val="en-US" w:eastAsia="zh-CN" w:bidi="ar"/>
        </w:rPr>
        <w:t>20</w:t>
      </w:r>
      <w:r>
        <w:rPr>
          <w:rFonts w:hint="eastAsia" w:ascii="仿宋_GB2312" w:hAnsi="仿宋_GB2312" w:eastAsia="仿宋_GB2312" w:cs="仿宋_GB2312"/>
          <w:color w:val="auto"/>
          <w:sz w:val="30"/>
          <w:szCs w:val="30"/>
          <w:shd w:val="clear" w:color="auto" w:fill="auto"/>
          <w:lang w:val="en-US" w:eastAsia="zh-CN" w:bidi="ar"/>
        </w:rPr>
        <w:t>14</w:t>
      </w:r>
      <w:r>
        <w:rPr>
          <w:rFonts w:hint="default" w:ascii="仿宋_GB2312" w:hAnsi="仿宋_GB2312" w:eastAsia="仿宋_GB2312" w:cs="仿宋_GB2312"/>
          <w:color w:val="auto"/>
          <w:sz w:val="30"/>
          <w:szCs w:val="30"/>
          <w:shd w:val="clear" w:color="auto" w:fill="auto"/>
          <w:lang w:val="en-US" w:eastAsia="zh-CN" w:bidi="ar"/>
        </w:rPr>
        <w:t xml:space="preserve"> 年版）不再执行</w:t>
      </w:r>
      <w:r>
        <w:rPr>
          <w:rFonts w:hint="eastAsia" w:ascii="仿宋_GB2312" w:hAnsi="仿宋_GB2312" w:eastAsia="仿宋_GB2312" w:cs="仿宋_GB2312"/>
          <w:color w:val="auto"/>
          <w:sz w:val="30"/>
          <w:szCs w:val="30"/>
          <w:shd w:val="clear" w:color="auto" w:fill="auto"/>
          <w:lang w:val="en-US" w:eastAsia="zh-CN" w:bidi="ar"/>
        </w:rPr>
        <w:t>。</w:t>
      </w:r>
    </w:p>
    <w:p>
      <w:pPr>
        <w:rPr>
          <w:rFonts w:hint="eastAsia"/>
          <w:color w:val="auto"/>
          <w:shd w:val="clear" w:color="auto" w:fill="auto"/>
          <w:lang w:eastAsia="zh-C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0" w:name="_bookmark54"/>
      <w:bookmarkEnd w:id="60"/>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40"/>
        <w:jc w:val="both"/>
        <w:textAlignment w:val="auto"/>
        <w:rPr>
          <w:rFonts w:hint="eastAsia" w:ascii="宋体" w:hAnsi="宋体" w:eastAsia="宋体" w:cs="宋体"/>
          <w:color w:val="auto"/>
          <w:sz w:val="32"/>
          <w:szCs w:val="32"/>
          <w:shd w:val="clear" w:color="auto" w:fill="auto"/>
        </w:rPr>
      </w:pPr>
      <w:bookmarkStart w:id="61" w:name="_Toc3675"/>
      <w:r>
        <w:rPr>
          <w:rFonts w:hint="eastAsia" w:ascii="宋体" w:hAnsi="宋体" w:eastAsia="宋体" w:cs="宋体"/>
          <w:color w:val="auto"/>
          <w:sz w:val="32"/>
          <w:szCs w:val="32"/>
          <w:shd w:val="clear" w:color="auto" w:fill="auto"/>
        </w:rPr>
        <w:t>附</w:t>
      </w:r>
      <w:r>
        <w:rPr>
          <w:rFonts w:hint="eastAsia" w:ascii="宋体" w:hAnsi="宋体" w:eastAsia="宋体" w:cs="宋体"/>
          <w:color w:val="auto"/>
          <w:sz w:val="32"/>
          <w:szCs w:val="32"/>
          <w:shd w:val="clear" w:color="auto" w:fill="auto"/>
          <w:lang w:val="en-US" w:eastAsia="zh-CN"/>
        </w:rPr>
        <w:t>表</w:t>
      </w:r>
      <w:r>
        <w:rPr>
          <w:rFonts w:hint="eastAsia" w:cs="宋体"/>
          <w:color w:val="auto"/>
          <w:sz w:val="32"/>
          <w:szCs w:val="32"/>
          <w:shd w:val="clear" w:color="auto" w:fill="auto"/>
          <w:lang w:val="en-US" w:eastAsia="zh-CN"/>
        </w:rPr>
        <w:t xml:space="preserve"> 1</w:t>
      </w:r>
      <w:r>
        <w:rPr>
          <w:rFonts w:hint="eastAsia" w:ascii="宋体" w:hAnsi="宋体" w:eastAsia="宋体" w:cs="宋体"/>
          <w:color w:val="auto"/>
          <w:sz w:val="32"/>
          <w:szCs w:val="32"/>
          <w:shd w:val="clear" w:color="auto" w:fill="auto"/>
          <w:lang w:val="en-US" w:eastAsia="zh-CN"/>
        </w:rPr>
        <w:t>：</w:t>
      </w:r>
      <w:r>
        <w:rPr>
          <w:rFonts w:hint="eastAsia" w:ascii="宋体" w:hAnsi="宋体" w:eastAsia="宋体" w:cs="宋体"/>
          <w:color w:val="auto"/>
          <w:sz w:val="32"/>
          <w:szCs w:val="32"/>
          <w:shd w:val="clear" w:color="auto" w:fill="auto"/>
        </w:rPr>
        <w:t>各类建设用地适建范围表</w:t>
      </w:r>
      <w:bookmarkEnd w:id="61"/>
    </w:p>
    <w:tbl>
      <w:tblPr>
        <w:tblStyle w:val="12"/>
        <w:tblW w:w="0" w:type="auto"/>
        <w:jc w:val="center"/>
        <w:tblLayout w:type="autofit"/>
        <w:tblCellMar>
          <w:top w:w="0" w:type="dxa"/>
          <w:left w:w="0" w:type="dxa"/>
          <w:bottom w:w="0" w:type="dxa"/>
          <w:right w:w="0" w:type="dxa"/>
        </w:tblCellMar>
      </w:tblPr>
      <w:tblGrid>
        <w:gridCol w:w="715"/>
        <w:gridCol w:w="350"/>
        <w:gridCol w:w="1117"/>
        <w:gridCol w:w="474"/>
        <w:gridCol w:w="570"/>
        <w:gridCol w:w="570"/>
        <w:gridCol w:w="519"/>
        <w:gridCol w:w="488"/>
        <w:gridCol w:w="490"/>
        <w:gridCol w:w="488"/>
        <w:gridCol w:w="522"/>
        <w:gridCol w:w="523"/>
        <w:gridCol w:w="603"/>
        <w:gridCol w:w="627"/>
        <w:gridCol w:w="552"/>
        <w:gridCol w:w="567"/>
        <w:gridCol w:w="549"/>
        <w:gridCol w:w="551"/>
        <w:gridCol w:w="549"/>
        <w:gridCol w:w="621"/>
        <w:gridCol w:w="622"/>
        <w:gridCol w:w="622"/>
        <w:gridCol w:w="591"/>
        <w:gridCol w:w="625"/>
        <w:gridCol w:w="559"/>
        <w:gridCol w:w="593"/>
        <w:gridCol w:w="830"/>
        <w:gridCol w:w="518"/>
        <w:gridCol w:w="502"/>
        <w:gridCol w:w="571"/>
        <w:gridCol w:w="606"/>
        <w:gridCol w:w="609"/>
        <w:gridCol w:w="607"/>
        <w:gridCol w:w="523"/>
        <w:gridCol w:w="553"/>
        <w:gridCol w:w="565"/>
      </w:tblGrid>
      <w:tr>
        <w:tblPrEx>
          <w:tblCellMar>
            <w:top w:w="0" w:type="dxa"/>
            <w:left w:w="0" w:type="dxa"/>
            <w:bottom w:w="0" w:type="dxa"/>
            <w:right w:w="0" w:type="dxa"/>
          </w:tblCellMar>
        </w:tblPrEx>
        <w:trPr>
          <w:trHeight w:val="193" w:hRule="atLeast"/>
          <w:tblHeader/>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91" w:lineRule="exact"/>
              <w:ind w:left="119"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建设</w:t>
            </w:r>
          </w:p>
          <w:p>
            <w:pPr>
              <w:pStyle w:val="19"/>
              <w:spacing w:line="222" w:lineRule="exact"/>
              <w:ind w:left="119"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类别</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91" w:lineRule="exact"/>
              <w:ind w:left="129"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w w:val="100"/>
                <w:sz w:val="21"/>
                <w:szCs w:val="21"/>
                <w:shd w:val="clear" w:color="auto" w:fill="auto"/>
              </w:rPr>
              <w:t>序</w:t>
            </w:r>
          </w:p>
          <w:p>
            <w:pPr>
              <w:pStyle w:val="19"/>
              <w:spacing w:line="222" w:lineRule="exact"/>
              <w:ind w:left="129"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w w:val="100"/>
                <w:sz w:val="21"/>
                <w:szCs w:val="21"/>
                <w:shd w:val="clear" w:color="auto" w:fill="auto"/>
              </w:rPr>
              <w:t>号</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91" w:lineRule="exact"/>
              <w:ind w:left="5"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用地类别</w:t>
            </w:r>
          </w:p>
          <w:p>
            <w:pPr>
              <w:pStyle w:val="19"/>
              <w:spacing w:line="222" w:lineRule="exact"/>
              <w:ind w:left="5"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建设项目</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left="247"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居住用地(R)</w:t>
            </w:r>
          </w:p>
        </w:tc>
        <w:tc>
          <w:tcPr>
            <w:tcW w:w="0" w:type="auto"/>
            <w:gridSpan w:val="6"/>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right="0" w:rightChars="0"/>
              <w:jc w:val="center"/>
              <w:rPr>
                <w:rFonts w:hint="eastAsia" w:ascii="仿宋" w:hAnsi="仿宋" w:eastAsia="仿宋" w:cs="仿宋"/>
                <w:b/>
                <w:bCs/>
                <w:color w:val="auto"/>
                <w:sz w:val="21"/>
                <w:szCs w:val="21"/>
                <w:shd w:val="clear" w:color="auto" w:fill="auto"/>
                <w:lang w:val="en-US" w:eastAsia="en-US" w:bidi="ar-SA"/>
              </w:rPr>
            </w:pPr>
            <w:r>
              <w:rPr>
                <w:rFonts w:hint="eastAsia" w:ascii="仿宋" w:hAnsi="仿宋" w:eastAsia="仿宋" w:cs="仿宋"/>
                <w:b/>
                <w:bCs/>
                <w:color w:val="auto"/>
                <w:sz w:val="21"/>
                <w:szCs w:val="21"/>
                <w:shd w:val="clear" w:color="auto" w:fill="auto"/>
              </w:rPr>
              <w:t>公共管理与公共服务设施用地</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right="0" w:rightChars="0" w:firstLine="843" w:firstLineChars="400"/>
              <w:jc w:val="center"/>
              <w:rPr>
                <w:rFonts w:hint="eastAsia" w:ascii="仿宋" w:hAnsi="仿宋" w:eastAsia="仿宋" w:cs="仿宋"/>
                <w:b/>
                <w:bCs/>
                <w:color w:val="auto"/>
                <w:sz w:val="21"/>
                <w:szCs w:val="21"/>
                <w:shd w:val="clear" w:color="auto" w:fill="auto"/>
                <w:lang w:val="en-US" w:eastAsia="en-US" w:bidi="ar-SA"/>
              </w:rPr>
            </w:pPr>
            <w:r>
              <w:rPr>
                <w:rFonts w:hint="eastAsia" w:ascii="仿宋" w:hAnsi="仿宋" w:eastAsia="仿宋" w:cs="仿宋"/>
                <w:b/>
                <w:bCs/>
                <w:color w:val="auto"/>
                <w:sz w:val="21"/>
                <w:szCs w:val="21"/>
                <w:shd w:val="clear" w:color="auto" w:fill="auto"/>
                <w:lang w:val="en-US" w:eastAsia="en-US" w:bidi="ar-SA"/>
              </w:rPr>
              <w:t>商业服务业用地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left="369"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lang w:val="en-US" w:eastAsia="zh-CN"/>
              </w:rPr>
              <w:t>工矿</w:t>
            </w:r>
            <w:r>
              <w:rPr>
                <w:rFonts w:hint="eastAsia" w:ascii="仿宋" w:hAnsi="仿宋" w:eastAsia="仿宋" w:cs="仿宋"/>
                <w:b/>
                <w:bCs/>
                <w:color w:val="auto"/>
                <w:sz w:val="21"/>
                <w:szCs w:val="21"/>
                <w:shd w:val="clear" w:color="auto" w:fill="auto"/>
              </w:rPr>
              <w:t>用地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left="254"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仓储用地</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left="609"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lang w:val="en-US" w:eastAsia="zh-CN"/>
              </w:rPr>
              <w:t>交通运输</w:t>
            </w:r>
            <w:r>
              <w:rPr>
                <w:rFonts w:hint="eastAsia" w:ascii="仿宋" w:hAnsi="仿宋" w:eastAsia="仿宋" w:cs="仿宋"/>
                <w:b/>
                <w:bCs/>
                <w:color w:val="auto"/>
                <w:sz w:val="21"/>
                <w:szCs w:val="21"/>
                <w:shd w:val="clear" w:color="auto" w:fill="auto"/>
              </w:rPr>
              <w:t>用地</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left="470"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rPr>
              <w:t>公共设施用地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pStyle w:val="19"/>
              <w:spacing w:before="25" w:line="240" w:lineRule="auto"/>
              <w:ind w:right="0"/>
              <w:jc w:val="center"/>
              <w:rPr>
                <w:rFonts w:hint="eastAsia" w:ascii="仿宋" w:hAnsi="仿宋" w:eastAsia="仿宋" w:cs="仿宋"/>
                <w:b/>
                <w:bCs/>
                <w:color w:val="auto"/>
                <w:sz w:val="21"/>
                <w:szCs w:val="21"/>
                <w:shd w:val="clear" w:color="auto" w:fill="auto"/>
              </w:rPr>
            </w:pPr>
            <w:r>
              <w:rPr>
                <w:rFonts w:hint="eastAsia" w:ascii="仿宋" w:hAnsi="仿宋" w:eastAsia="仿宋" w:cs="仿宋"/>
                <w:b/>
                <w:bCs/>
                <w:color w:val="auto"/>
                <w:sz w:val="21"/>
                <w:szCs w:val="21"/>
                <w:shd w:val="clear" w:color="auto" w:fill="auto"/>
                <w:lang w:eastAsia="en-US"/>
              </w:rPr>
              <w:t>绿地与开敞空间用地</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pStyle w:val="19"/>
              <w:spacing w:before="80" w:line="240" w:lineRule="auto"/>
              <w:ind w:right="0" w:rightChars="0"/>
              <w:jc w:val="center"/>
              <w:rPr>
                <w:rFonts w:hint="eastAsia" w:ascii="仿宋" w:hAnsi="仿宋" w:eastAsia="仿宋" w:cs="仿宋"/>
                <w:b/>
                <w:bCs/>
                <w:color w:val="auto"/>
                <w:sz w:val="21"/>
                <w:szCs w:val="21"/>
                <w:shd w:val="clear" w:color="auto" w:fill="auto"/>
                <w:lang w:eastAsia="en-US"/>
              </w:rPr>
            </w:pPr>
            <w:r>
              <w:rPr>
                <w:rFonts w:hint="eastAsia" w:ascii="仿宋" w:hAnsi="仿宋" w:eastAsia="仿宋" w:cs="仿宋"/>
                <w:b/>
                <w:bCs/>
                <w:color w:val="auto"/>
                <w:sz w:val="21"/>
                <w:szCs w:val="21"/>
                <w:shd w:val="clear" w:color="auto" w:fill="auto"/>
                <w:lang w:val="en-US" w:eastAsia="zh-CN"/>
              </w:rPr>
              <w:t>特殊</w:t>
            </w:r>
            <w:r>
              <w:rPr>
                <w:rFonts w:hint="eastAsia" w:ascii="仿宋" w:hAnsi="仿宋" w:eastAsia="仿宋" w:cs="仿宋"/>
                <w:b/>
                <w:bCs/>
                <w:color w:val="auto"/>
                <w:sz w:val="21"/>
                <w:szCs w:val="21"/>
                <w:shd w:val="clear" w:color="auto" w:fill="auto"/>
              </w:rPr>
              <w:t>用地</w:t>
            </w:r>
          </w:p>
        </w:tc>
      </w:tr>
      <w:tr>
        <w:tblPrEx>
          <w:tblCellMar>
            <w:top w:w="0" w:type="dxa"/>
            <w:left w:w="0" w:type="dxa"/>
            <w:bottom w:w="0" w:type="dxa"/>
            <w:right w:w="0" w:type="dxa"/>
          </w:tblCellMar>
        </w:tblPrEx>
        <w:trPr>
          <w:trHeight w:val="193"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12" w:right="113" w:firstLine="4"/>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一</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类</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60" w:right="161" w:firstLine="4"/>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二</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类</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60" w:right="161" w:firstLine="4"/>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三</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类</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07" w:right="10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机关团体</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0" w:right="10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文化</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1" w:right="108"/>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教育</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10" w:right="10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体育</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0" w:right="10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医疗</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卫生</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0" w:right="108"/>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社会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福利</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53" w:right="152" w:firstLine="2"/>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商</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业</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用</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46" w:right="147" w:firstLine="4"/>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商</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务</w:t>
            </w:r>
            <w:r>
              <w:rPr>
                <w:rFonts w:hint="eastAsia" w:ascii="仿宋" w:hAnsi="仿宋" w:eastAsia="仿宋" w:cs="仿宋"/>
                <w:color w:val="auto"/>
                <w:sz w:val="21"/>
                <w:szCs w:val="21"/>
                <w:shd w:val="clear" w:color="auto" w:fill="auto"/>
                <w:lang w:val="en-US" w:eastAsia="zh-CN"/>
              </w:rPr>
              <w:t>金融</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用</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27" w:right="12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娱乐</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康体</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08" w:right="103"/>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eastAsia="en-US"/>
              </w:rPr>
              <w:t>其他商业服务业用地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24" w:right="12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一类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工业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24" w:right="122"/>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二类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工业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24" w:right="12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三类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工业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43" w:right="139"/>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一类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物流</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仓储</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44" w:right="139"/>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二类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物流</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仓储</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44" w:right="139"/>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三类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物流</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仓储</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43" w:right="143"/>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城市道路</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43" w:right="143"/>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城市</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轨道</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交通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29" w:right="125"/>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交通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场站</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29" w:right="125"/>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其他</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交通</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设施</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7" w:right="113"/>
              <w:jc w:val="left"/>
              <w:rPr>
                <w:rFonts w:hint="eastAsia" w:ascii="仿宋" w:hAnsi="仿宋" w:eastAsia="仿宋" w:cs="仿宋"/>
                <w:color w:val="auto"/>
                <w:sz w:val="21"/>
                <w:szCs w:val="21"/>
                <w:shd w:val="clear" w:color="auto" w:fill="auto"/>
                <w:lang w:val="en-US" w:eastAsia="zh-CN"/>
              </w:rPr>
            </w:pPr>
            <w:r>
              <w:rPr>
                <w:rFonts w:hint="eastAsia" w:ascii="仿宋" w:hAnsi="仿宋" w:eastAsia="仿宋" w:cs="仿宋"/>
                <w:color w:val="auto"/>
                <w:sz w:val="21"/>
                <w:szCs w:val="21"/>
                <w:shd w:val="clear" w:color="auto" w:fill="auto"/>
              </w:rPr>
              <w:t>供</w:t>
            </w:r>
            <w:r>
              <w:rPr>
                <w:rFonts w:hint="eastAsia" w:ascii="仿宋" w:hAnsi="仿宋" w:eastAsia="仿宋" w:cs="仿宋"/>
                <w:color w:val="auto"/>
                <w:sz w:val="21"/>
                <w:szCs w:val="21"/>
                <w:shd w:val="clear" w:color="auto" w:fill="auto"/>
                <w:lang w:val="en-US" w:eastAsia="zh-CN"/>
              </w:rPr>
              <w:t>排水、</w:t>
            </w:r>
            <w:r>
              <w:rPr>
                <w:rFonts w:hint="eastAsia" w:ascii="仿宋" w:hAnsi="仿宋" w:eastAsia="仿宋" w:cs="仿宋"/>
                <w:color w:val="auto"/>
                <w:sz w:val="21"/>
                <w:szCs w:val="21"/>
                <w:shd w:val="clear" w:color="auto" w:fill="auto"/>
              </w:rPr>
              <w:t>供</w:t>
            </w:r>
            <w:r>
              <w:rPr>
                <w:rFonts w:hint="eastAsia" w:ascii="仿宋" w:hAnsi="仿宋" w:eastAsia="仿宋" w:cs="仿宋"/>
                <w:color w:val="auto"/>
                <w:sz w:val="21"/>
                <w:szCs w:val="21"/>
                <w:shd w:val="clear" w:color="auto" w:fill="auto"/>
                <w:lang w:val="en-US" w:eastAsia="zh-CN"/>
              </w:rPr>
              <w:t>电、供燃气用地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7" w:right="113"/>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环卫  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8" w:right="113"/>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消防</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17" w:right="115"/>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其他</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公用</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设施</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53" w:right="148" w:firstLine="9"/>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公</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园</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绿</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53" w:right="151" w:firstLine="9"/>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防</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护</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绿</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51" w:right="151" w:firstLine="9"/>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广</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场</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用</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8" w:line="180" w:lineRule="exact"/>
              <w:ind w:left="110" w:leftChars="0" w:right="108" w:rightChars="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文物</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古迹</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27" w:leftChars="0" w:right="126" w:rightChars="0" w:firstLine="4" w:firstLineChars="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外</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事</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用</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 w:line="180" w:lineRule="exact"/>
              <w:ind w:left="131" w:leftChars="0" w:right="131" w:rightChars="0" w:firstLine="7" w:firstLineChars="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宗</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教</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用</w:t>
            </w:r>
            <w:r>
              <w:rPr>
                <w:rFonts w:hint="eastAsia" w:ascii="仿宋" w:hAnsi="仿宋" w:eastAsia="仿宋" w:cs="仿宋"/>
                <w:color w:val="auto"/>
                <w:w w:val="100"/>
                <w:sz w:val="21"/>
                <w:szCs w:val="21"/>
                <w:shd w:val="clear" w:color="auto" w:fill="auto"/>
              </w:rPr>
              <w:t xml:space="preserve"> </w:t>
            </w:r>
            <w:r>
              <w:rPr>
                <w:rFonts w:hint="eastAsia" w:ascii="仿宋" w:hAnsi="仿宋" w:eastAsia="仿宋" w:cs="仿宋"/>
                <w:color w:val="auto"/>
                <w:sz w:val="21"/>
                <w:szCs w:val="21"/>
                <w:shd w:val="clear" w:color="auto" w:fill="auto"/>
              </w:rPr>
              <w:t>地</w:t>
            </w:r>
          </w:p>
        </w:tc>
      </w:tr>
      <w:tr>
        <w:tblPrEx>
          <w:tblCellMar>
            <w:top w:w="0" w:type="dxa"/>
            <w:left w:w="0" w:type="dxa"/>
            <w:bottom w:w="0" w:type="dxa"/>
            <w:right w:w="0" w:type="dxa"/>
          </w:tblCellMar>
        </w:tblPrEx>
        <w:trPr>
          <w:trHeight w:val="193" w:hRule="atLeast"/>
          <w:jc w:val="center"/>
        </w:trPr>
        <w:tc>
          <w:tcPr>
            <w:tcW w:w="0" w:type="auto"/>
            <w:vMerge w:val="restart"/>
            <w:tcBorders>
              <w:top w:val="single" w:color="000000" w:sz="4" w:space="0"/>
              <w:left w:val="single" w:color="000000" w:sz="4" w:space="0"/>
              <w:right w:val="single" w:color="000000" w:sz="4" w:space="0"/>
            </w:tcBorders>
            <w:vAlign w:val="center"/>
          </w:tcPr>
          <w:p>
            <w:pPr>
              <w:pStyle w:val="19"/>
              <w:spacing w:before="5"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39" w:right="13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类项</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1</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低层居住建筑</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多层居住建筑</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高层居住建筑（含酒店式公寓）</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9"/>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单身宿舍、老年公寓、学生公寓</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9"/>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restart"/>
            <w:tcBorders>
              <w:top w:val="single" w:color="000000" w:sz="4" w:space="0"/>
              <w:left w:val="single" w:color="000000" w:sz="4" w:space="0"/>
              <w:right w:val="single" w:color="000000" w:sz="4" w:space="0"/>
            </w:tcBorders>
            <w:vAlign w:val="center"/>
          </w:tcPr>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line="240" w:lineRule="auto"/>
              <w:ind w:right="0"/>
              <w:jc w:val="left"/>
              <w:rPr>
                <w:rFonts w:hint="eastAsia" w:ascii="仿宋" w:hAnsi="仿宋" w:eastAsia="仿宋" w:cs="仿宋"/>
                <w:b/>
                <w:bCs/>
                <w:color w:val="auto"/>
                <w:sz w:val="21"/>
                <w:szCs w:val="21"/>
                <w:shd w:val="clear" w:color="auto" w:fill="auto"/>
              </w:rPr>
            </w:pPr>
          </w:p>
          <w:p>
            <w:pPr>
              <w:pStyle w:val="19"/>
              <w:spacing w:before="1"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39" w:right="13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公共</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管理</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与公</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共服</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务设</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施类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项目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居住小区教育设施（中小学、托幼）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居住小区商业服务设施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17"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9"/>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43"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sz w:val="21"/>
                <w:szCs w:val="21"/>
                <w:shd w:val="clear" w:color="auto" w:fill="auto"/>
              </w:rPr>
              <w:t>居住小区文化设施（青少年和老年活动室、</w:t>
            </w:r>
          </w:p>
          <w:p>
            <w:pPr>
              <w:pStyle w:val="19"/>
              <w:spacing w:line="183"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文化馆等）</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left="117"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9"/>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居住小区体育设施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9</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28"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居住小区医疗卫生设施（卫生站、社区医院）</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left="117"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居住小区社会福利设施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11</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2" w:line="168" w:lineRule="exact"/>
              <w:ind w:left="103" w:right="25"/>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sz w:val="21"/>
                <w:szCs w:val="21"/>
                <w:shd w:val="clear" w:color="auto" w:fill="auto"/>
              </w:rPr>
              <w:t>居住小区垃圾站、公厕、调压站、配电所、</w:t>
            </w:r>
            <w:r>
              <w:rPr>
                <w:rFonts w:hint="eastAsia" w:ascii="仿宋" w:hAnsi="仿宋" w:eastAsia="仿宋" w:cs="仿宋"/>
                <w:color w:val="auto"/>
                <w:spacing w:val="-39"/>
                <w:sz w:val="21"/>
                <w:szCs w:val="21"/>
                <w:shd w:val="clear" w:color="auto" w:fill="auto"/>
              </w:rPr>
              <w:t xml:space="preserve"> </w:t>
            </w:r>
            <w:r>
              <w:rPr>
                <w:rFonts w:hint="eastAsia" w:ascii="仿宋" w:hAnsi="仿宋" w:eastAsia="仿宋" w:cs="仿宋"/>
                <w:color w:val="auto"/>
                <w:sz w:val="21"/>
                <w:szCs w:val="21"/>
                <w:shd w:val="clear" w:color="auto" w:fill="auto"/>
              </w:rPr>
              <w:t>出租汽车停靠站</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12</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居住小区行政管理设施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9"/>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13</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小型农贸市场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17"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43"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大型农贸市场、小商品市场、工业品市场</w:t>
            </w:r>
          </w:p>
          <w:p>
            <w:pPr>
              <w:pStyle w:val="19"/>
              <w:spacing w:line="183"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和综合市场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居住区级以上商业服务业设施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16</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43"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sz w:val="21"/>
                <w:szCs w:val="21"/>
                <w:shd w:val="clear" w:color="auto" w:fill="auto"/>
              </w:rPr>
              <w:t>居住区级以上文化设施（图书馆、博物馆、</w:t>
            </w:r>
          </w:p>
          <w:p>
            <w:pPr>
              <w:pStyle w:val="19"/>
              <w:spacing w:line="183"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美术馆、音乐厅、纪念性建筑等）</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60"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4"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3"/>
                <w:sz w:val="21"/>
                <w:szCs w:val="21"/>
                <w:shd w:val="clear" w:color="auto" w:fill="auto"/>
              </w:rPr>
              <w:t>17</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2" w:line="168" w:lineRule="exact"/>
              <w:ind w:left="103" w:right="96"/>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1"/>
                <w:sz w:val="21"/>
                <w:szCs w:val="21"/>
                <w:shd w:val="clear" w:color="auto" w:fill="auto"/>
              </w:rPr>
              <w:t>居住区级以上娱乐康体设施（影剧、游乐</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sz w:val="21"/>
                <w:szCs w:val="21"/>
                <w:shd w:val="clear" w:color="auto" w:fill="auto"/>
              </w:rPr>
              <w:t>场、俱乐部、舞厅、夜总会）</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9"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18</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居住区级以上体育设施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19</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居住区级以上医疗卫生设施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5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特殊病院(精神病院、传染病院)需单独选址</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21</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办公建筑、商办综合楼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22</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一般旅馆（含公寓式酒店）</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23</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旅游宾馆</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商住综合楼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31"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高等院校、职业学校、技工学校、成人学</w:t>
            </w:r>
          </w:p>
          <w:p>
            <w:pPr>
              <w:pStyle w:val="19"/>
              <w:spacing w:line="179"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校和业余学校、中等专业学校</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4"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26</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2"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科研设计机构</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5"/>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restart"/>
            <w:tcBorders>
              <w:top w:val="single" w:color="000000" w:sz="4" w:space="0"/>
              <w:left w:val="single" w:color="000000" w:sz="4" w:space="0"/>
              <w:right w:val="single" w:color="000000" w:sz="4" w:space="0"/>
            </w:tcBorders>
            <w:vAlign w:val="center"/>
          </w:tcPr>
          <w:p>
            <w:pPr>
              <w:pStyle w:val="19"/>
              <w:spacing w:before="4" w:line="240" w:lineRule="auto"/>
              <w:ind w:right="0"/>
              <w:jc w:val="left"/>
              <w:rPr>
                <w:rFonts w:hint="eastAsia" w:ascii="仿宋" w:hAnsi="仿宋" w:eastAsia="仿宋" w:cs="仿宋"/>
                <w:b/>
                <w:bCs/>
                <w:color w:val="auto"/>
                <w:sz w:val="21"/>
                <w:szCs w:val="21"/>
                <w:shd w:val="clear" w:color="auto" w:fill="auto"/>
              </w:rPr>
            </w:pPr>
          </w:p>
          <w:p>
            <w:pPr>
              <w:pStyle w:val="19"/>
              <w:spacing w:line="319" w:lineRule="auto"/>
              <w:ind w:left="139" w:right="13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工矿</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类项</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5"/>
                <w:sz w:val="21"/>
                <w:szCs w:val="21"/>
                <w:shd w:val="clear" w:color="auto" w:fill="auto"/>
              </w:rPr>
              <w:t>27</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 w:line="158" w:lineRule="exact"/>
              <w:ind w:left="103" w:right="96"/>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1"/>
                <w:sz w:val="21"/>
                <w:szCs w:val="21"/>
                <w:shd w:val="clear" w:color="auto" w:fill="auto"/>
              </w:rPr>
              <w:t>对居住和公共环境基本无干扰、污染和安</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sz w:val="21"/>
                <w:szCs w:val="21"/>
                <w:shd w:val="clear" w:color="auto" w:fill="auto"/>
              </w:rPr>
              <w:t>全隐患的工业用地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9"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28</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31"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对居住和公共环境有一定干扰、污染和安</w:t>
            </w:r>
          </w:p>
          <w:p>
            <w:pPr>
              <w:pStyle w:val="19"/>
              <w:spacing w:line="179"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全隐患的工业用地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29</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 w:line="158" w:lineRule="exact"/>
              <w:ind w:left="103" w:right="96"/>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1"/>
                <w:sz w:val="21"/>
                <w:szCs w:val="21"/>
                <w:shd w:val="clear" w:color="auto" w:fill="auto"/>
              </w:rPr>
              <w:t>对居住和公共环境有严重干扰、污染和安</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sz w:val="21"/>
                <w:szCs w:val="21"/>
                <w:shd w:val="clear" w:color="auto" w:fill="auto"/>
              </w:rPr>
              <w:t>全隐患的工业用地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restart"/>
            <w:tcBorders>
              <w:top w:val="single" w:color="000000" w:sz="4" w:space="0"/>
              <w:left w:val="single" w:color="000000" w:sz="4" w:space="0"/>
              <w:right w:val="single" w:color="000000" w:sz="4" w:space="0"/>
            </w:tcBorders>
            <w:vAlign w:val="center"/>
          </w:tcPr>
          <w:p>
            <w:pPr>
              <w:pStyle w:val="19"/>
              <w:spacing w:before="12"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39" w:right="13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仓储</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类项</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31"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对居住和公共环境基本无干扰、污染和安</w:t>
            </w:r>
          </w:p>
          <w:p>
            <w:pPr>
              <w:pStyle w:val="19"/>
              <w:spacing w:line="179"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全隐患的物流仓储用地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0"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0"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10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31</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 w:line="158" w:lineRule="exact"/>
              <w:ind w:left="103" w:right="96"/>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1"/>
                <w:sz w:val="21"/>
                <w:szCs w:val="21"/>
                <w:shd w:val="clear" w:color="auto" w:fill="auto"/>
              </w:rPr>
              <w:t>对居住和公共环境有一定干扰、污染和安</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sz w:val="21"/>
                <w:szCs w:val="21"/>
                <w:shd w:val="clear" w:color="auto" w:fill="auto"/>
              </w:rPr>
              <w:t>全隐患的物流仓储用地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32</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line="131"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易燃、易爆和剧毒等危险品的专用物流仓</w:t>
            </w:r>
          </w:p>
          <w:p>
            <w:pPr>
              <w:pStyle w:val="19"/>
              <w:spacing w:line="179" w:lineRule="exact"/>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储用地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9"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97"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restart"/>
            <w:tcBorders>
              <w:top w:val="single" w:color="000000" w:sz="4" w:space="0"/>
              <w:left w:val="single" w:color="000000" w:sz="4" w:space="0"/>
              <w:right w:val="single" w:color="000000" w:sz="4" w:space="0"/>
            </w:tcBorders>
            <w:vAlign w:val="center"/>
          </w:tcPr>
          <w:p>
            <w:pPr>
              <w:pStyle w:val="19"/>
              <w:spacing w:before="11" w:line="240" w:lineRule="auto"/>
              <w:ind w:right="0"/>
              <w:jc w:val="left"/>
              <w:rPr>
                <w:rFonts w:hint="eastAsia" w:ascii="仿宋" w:hAnsi="仿宋" w:eastAsia="仿宋" w:cs="仿宋"/>
                <w:b/>
                <w:bCs/>
                <w:color w:val="auto"/>
                <w:sz w:val="21"/>
                <w:szCs w:val="21"/>
                <w:shd w:val="clear" w:color="auto" w:fill="auto"/>
              </w:rPr>
            </w:pPr>
          </w:p>
          <w:p>
            <w:pPr>
              <w:pStyle w:val="19"/>
              <w:spacing w:line="180" w:lineRule="exact"/>
              <w:ind w:left="139" w:right="13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lang w:val="en-US" w:eastAsia="zh-CN"/>
              </w:rPr>
              <w:t>交通运输</w:t>
            </w:r>
            <w:r>
              <w:rPr>
                <w:rFonts w:hint="eastAsia" w:ascii="仿宋" w:hAnsi="仿宋" w:eastAsia="仿宋" w:cs="仿宋"/>
                <w:color w:val="auto"/>
                <w:sz w:val="21"/>
                <w:szCs w:val="21"/>
                <w:shd w:val="clear" w:color="auto" w:fill="auto"/>
              </w:rPr>
              <w:t>类</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项目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33</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社会停车场、库</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left="117"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60"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left="139"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34</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加油、加气站</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5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汽车修理、专业保养场和机动车训练场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36</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客、货运公司站场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pacing w:val="-3"/>
                <w:sz w:val="21"/>
                <w:szCs w:val="21"/>
                <w:shd w:val="clear" w:color="auto" w:fill="auto"/>
              </w:rPr>
              <w:t>37</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施工维修设施及废品场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0"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restart"/>
            <w:tcBorders>
              <w:top w:val="single" w:color="000000" w:sz="4" w:space="0"/>
              <w:left w:val="single" w:color="000000" w:sz="4" w:space="0"/>
              <w:right w:val="single" w:color="000000" w:sz="4" w:space="0"/>
            </w:tcBorders>
            <w:vAlign w:val="center"/>
          </w:tcPr>
          <w:p>
            <w:pPr>
              <w:pStyle w:val="19"/>
              <w:spacing w:before="50" w:line="180" w:lineRule="exact"/>
              <w:ind w:left="139" w:right="137"/>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公用</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设施</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类项</w:t>
            </w:r>
            <w:r>
              <w:rPr>
                <w:rFonts w:hint="eastAsia" w:ascii="仿宋" w:hAnsi="仿宋" w:eastAsia="仿宋" w:cs="仿宋"/>
                <w:color w:val="auto"/>
                <w:spacing w:val="-73"/>
                <w:sz w:val="21"/>
                <w:szCs w:val="21"/>
                <w:shd w:val="clear" w:color="auto" w:fill="auto"/>
              </w:rPr>
              <w:t xml:space="preserve"> </w:t>
            </w:r>
            <w:r>
              <w:rPr>
                <w:rFonts w:hint="eastAsia" w:ascii="仿宋" w:hAnsi="仿宋" w:eastAsia="仿宋" w:cs="仿宋"/>
                <w:color w:val="auto"/>
                <w:sz w:val="21"/>
                <w:szCs w:val="21"/>
                <w:shd w:val="clear" w:color="auto" w:fill="auto"/>
              </w:rPr>
              <w:t>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38</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4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污水处理厂</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7"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7"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75"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39</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消防、防洪设施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r>
        <w:tblPrEx>
          <w:tblCellMar>
            <w:top w:w="0" w:type="dxa"/>
            <w:left w:w="0" w:type="dxa"/>
            <w:bottom w:w="0" w:type="dxa"/>
            <w:right w:w="0" w:type="dxa"/>
          </w:tblCellMar>
        </w:tblPrEx>
        <w:trPr>
          <w:trHeight w:val="193" w:hRule="atLeast"/>
          <w:jc w:val="center"/>
        </w:trPr>
        <w:tc>
          <w:tcPr>
            <w:tcW w:w="0" w:type="auto"/>
            <w:vMerge w:val="continue"/>
            <w:tcBorders>
              <w:left w:val="single" w:color="000000" w:sz="4" w:space="0"/>
              <w:bottom w:val="single" w:color="000000" w:sz="4" w:space="0"/>
              <w:right w:val="single" w:color="000000" w:sz="4" w:space="0"/>
            </w:tcBorders>
            <w:vAlign w:val="center"/>
          </w:tcPr>
          <w:p>
            <w:pPr>
              <w:jc w:val="left"/>
              <w:rPr>
                <w:rFonts w:hint="eastAsia" w:ascii="仿宋" w:hAnsi="仿宋" w:eastAsia="仿宋" w:cs="仿宋"/>
                <w:color w:val="auto"/>
                <w:sz w:val="21"/>
                <w:szCs w:val="21"/>
                <w:shd w:val="clear" w:color="auto" w:fill="auto"/>
              </w:rPr>
            </w:pP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40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33" w:line="240" w:lineRule="auto"/>
              <w:ind w:left="103" w:right="0"/>
              <w:jc w:val="left"/>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其他公用设施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57"/>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1"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8" w:line="240" w:lineRule="auto"/>
              <w:ind w:right="62"/>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w w:val="100"/>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right="1"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19"/>
              <w:spacing w:before="66" w:line="240" w:lineRule="auto"/>
              <w:ind w:left="3" w:leftChars="0" w:right="0" w:rightChars="0"/>
              <w:jc w:val="center"/>
              <w:rPr>
                <w:rFonts w:hint="eastAsia" w:ascii="仿宋" w:hAnsi="仿宋" w:eastAsia="仿宋" w:cs="仿宋"/>
                <w:color w:val="auto"/>
                <w:sz w:val="21"/>
                <w:szCs w:val="21"/>
                <w:shd w:val="clear" w:color="auto" w:fill="auto"/>
              </w:rPr>
            </w:pPr>
            <w:r>
              <w:rPr>
                <w:rFonts w:hint="eastAsia" w:ascii="仿宋" w:hAnsi="仿宋" w:eastAsia="仿宋" w:cs="仿宋"/>
                <w:color w:val="auto"/>
                <w:w w:val="100"/>
                <w:sz w:val="21"/>
                <w:szCs w:val="21"/>
                <w:shd w:val="clear" w:color="auto" w:fill="auto"/>
              </w:rPr>
              <w:t>×</w:t>
            </w:r>
          </w:p>
        </w:tc>
      </w:tr>
    </w:tbl>
    <w:p>
      <w:pPr>
        <w:spacing w:before="87"/>
        <w:ind w:right="0"/>
        <w:jc w:val="left"/>
        <w:rPr>
          <w:rFonts w:ascii="宋体" w:hAnsi="宋体" w:eastAsia="宋体" w:cs="宋体"/>
          <w:color w:val="auto"/>
          <w:sz w:val="18"/>
          <w:szCs w:val="18"/>
          <w:shd w:val="clear" w:color="auto" w:fill="auto"/>
        </w:rPr>
      </w:pPr>
      <w:r>
        <w:rPr>
          <w:rFonts w:ascii="宋体" w:hAnsi="宋体" w:eastAsia="宋体" w:cs="宋体"/>
          <w:color w:val="auto"/>
          <w:sz w:val="18"/>
          <w:szCs w:val="18"/>
          <w:shd w:val="clear" w:color="auto" w:fill="auto"/>
        </w:rPr>
        <w:t>注：</w:t>
      </w:r>
      <w:r>
        <w:rPr>
          <w:rFonts w:ascii="Calibri" w:hAnsi="Calibri" w:eastAsia="Calibri" w:cs="Calibri"/>
          <w:color w:val="auto"/>
          <w:sz w:val="18"/>
          <w:szCs w:val="18"/>
          <w:shd w:val="clear" w:color="auto" w:fill="auto"/>
        </w:rPr>
        <w:t>“√”</w:t>
      </w:r>
      <w:r>
        <w:rPr>
          <w:rFonts w:ascii="宋体" w:hAnsi="宋体" w:eastAsia="宋体" w:cs="宋体"/>
          <w:color w:val="auto"/>
          <w:sz w:val="18"/>
          <w:szCs w:val="18"/>
          <w:shd w:val="clear" w:color="auto" w:fill="auto"/>
        </w:rPr>
        <w:t>允许设置；</w:t>
      </w:r>
      <w:r>
        <w:rPr>
          <w:rFonts w:ascii="Calibri" w:hAnsi="Calibri" w:eastAsia="Calibri" w:cs="Calibri"/>
          <w:color w:val="auto"/>
          <w:sz w:val="18"/>
          <w:szCs w:val="18"/>
          <w:shd w:val="clear" w:color="auto" w:fill="auto"/>
        </w:rPr>
        <w:t>“×”</w:t>
      </w:r>
      <w:r>
        <w:rPr>
          <w:rFonts w:ascii="宋体" w:hAnsi="宋体" w:eastAsia="宋体" w:cs="宋体"/>
          <w:color w:val="auto"/>
          <w:sz w:val="18"/>
          <w:szCs w:val="18"/>
          <w:shd w:val="clear" w:color="auto" w:fill="auto"/>
        </w:rPr>
        <w:t>不允许设置；</w:t>
      </w:r>
      <w:r>
        <w:rPr>
          <w:rFonts w:ascii="Calibri" w:hAnsi="Calibri" w:eastAsia="Calibri" w:cs="Calibri"/>
          <w:color w:val="auto"/>
          <w:sz w:val="18"/>
          <w:szCs w:val="18"/>
          <w:shd w:val="clear" w:color="auto" w:fill="auto"/>
        </w:rPr>
        <w:t>“</w:t>
      </w:r>
      <w:r>
        <w:rPr>
          <w:rFonts w:ascii="Arial" w:hAnsi="Arial" w:eastAsia="Arial" w:cs="Arial"/>
          <w:color w:val="auto"/>
          <w:sz w:val="18"/>
          <w:szCs w:val="18"/>
          <w:shd w:val="clear" w:color="auto" w:fill="auto"/>
        </w:rPr>
        <w:t>○</w:t>
      </w:r>
      <w:r>
        <w:rPr>
          <w:rFonts w:ascii="Arial" w:hAnsi="Arial" w:eastAsia="Arial" w:cs="Arial"/>
          <w:color w:val="auto"/>
          <w:spacing w:val="19"/>
          <w:sz w:val="18"/>
          <w:szCs w:val="18"/>
          <w:shd w:val="clear" w:color="auto" w:fill="auto"/>
        </w:rPr>
        <w:t xml:space="preserve"> </w:t>
      </w:r>
      <w:r>
        <w:rPr>
          <w:rFonts w:ascii="Calibri" w:hAnsi="Calibri" w:eastAsia="Calibri" w:cs="Calibri"/>
          <w:color w:val="auto"/>
          <w:sz w:val="18"/>
          <w:szCs w:val="18"/>
          <w:shd w:val="clear" w:color="auto" w:fill="auto"/>
        </w:rPr>
        <w:t>”</w:t>
      </w:r>
      <w:r>
        <w:rPr>
          <w:rFonts w:ascii="宋体" w:hAnsi="宋体" w:eastAsia="宋体" w:cs="宋体"/>
          <w:color w:val="auto"/>
          <w:sz w:val="18"/>
          <w:szCs w:val="18"/>
          <w:shd w:val="clear" w:color="auto" w:fill="auto"/>
        </w:rPr>
        <w:t>允许或不允许设置，由</w:t>
      </w:r>
      <w:r>
        <w:rPr>
          <w:rFonts w:hint="eastAsia" w:ascii="宋体" w:hAnsi="宋体" w:eastAsia="宋体" w:cs="宋体"/>
          <w:color w:val="auto"/>
          <w:sz w:val="18"/>
          <w:szCs w:val="18"/>
          <w:shd w:val="clear" w:color="auto" w:fill="auto"/>
          <w:lang w:val="en-US" w:eastAsia="zh-CN"/>
        </w:rPr>
        <w:t>城市自然资源</w:t>
      </w:r>
      <w:r>
        <w:rPr>
          <w:rFonts w:ascii="宋体" w:hAnsi="宋体" w:eastAsia="宋体" w:cs="宋体"/>
          <w:color w:val="auto"/>
          <w:sz w:val="18"/>
          <w:szCs w:val="18"/>
          <w:shd w:val="clear" w:color="auto" w:fill="auto"/>
        </w:rPr>
        <w:t>主管部门根据具体条件和规划要求确定</w:t>
      </w:r>
    </w:p>
    <w:p>
      <w:pPr>
        <w:pStyle w:val="18"/>
        <w:rPr>
          <w:rFonts w:ascii="宋体" w:hAnsi="宋体" w:eastAsia="宋体" w:cs="宋体"/>
          <w:color w:val="auto"/>
          <w:sz w:val="18"/>
          <w:szCs w:val="18"/>
          <w:shd w:val="clear" w:color="auto" w:fill="auto"/>
        </w:rPr>
      </w:pPr>
    </w:p>
    <w:p>
      <w:pPr>
        <w:rPr>
          <w:rFonts w:hint="eastAsia"/>
          <w:color w:val="auto"/>
          <w:shd w:val="clear" w:color="auto" w:fill="auto"/>
        </w:rPr>
      </w:pPr>
      <w:r>
        <w:rPr>
          <w:rFonts w:hint="eastAsia"/>
          <w:color w:val="auto"/>
          <w:shd w:val="clear" w:color="auto" w:fill="auto"/>
        </w:rPr>
        <w:br w:type="page"/>
      </w:r>
    </w:p>
    <w:p>
      <w:pPr>
        <w:pStyle w:val="18"/>
        <w:rPr>
          <w:rFonts w:hint="eastAsia"/>
          <w:color w:val="auto"/>
          <w:shd w:val="clear" w:color="auto" w:fill="auto"/>
        </w:rPr>
        <w:sectPr>
          <w:pgSz w:w="23811" w:h="16838"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40"/>
        <w:jc w:val="both"/>
        <w:textAlignment w:val="auto"/>
        <w:rPr>
          <w:rFonts w:hint="eastAsia" w:ascii="宋体" w:hAnsi="宋体" w:eastAsia="宋体" w:cs="宋体"/>
          <w:color w:val="auto"/>
          <w:sz w:val="32"/>
          <w:szCs w:val="32"/>
          <w:shd w:val="clear" w:color="auto" w:fill="auto"/>
        </w:rPr>
      </w:pPr>
      <w:bookmarkStart w:id="62" w:name="_Toc29746"/>
      <w:r>
        <w:rPr>
          <w:rFonts w:hint="eastAsia" w:ascii="宋体" w:hAnsi="宋体" w:eastAsia="宋体" w:cs="宋体"/>
          <w:color w:val="auto"/>
          <w:sz w:val="32"/>
          <w:szCs w:val="32"/>
          <w:shd w:val="clear" w:color="auto" w:fill="auto"/>
        </w:rPr>
        <w:t>附</w:t>
      </w:r>
      <w:r>
        <w:rPr>
          <w:rFonts w:hint="eastAsia" w:ascii="宋体" w:hAnsi="宋体" w:eastAsia="宋体" w:cs="宋体"/>
          <w:color w:val="auto"/>
          <w:sz w:val="32"/>
          <w:szCs w:val="32"/>
          <w:shd w:val="clear" w:color="auto" w:fill="auto"/>
          <w:lang w:val="en-US" w:eastAsia="zh-CN"/>
        </w:rPr>
        <w:t>表 2：用地分类名称、代码和含义</w:t>
      </w:r>
      <w:r>
        <w:rPr>
          <w:rFonts w:hint="eastAsia" w:ascii="宋体" w:hAnsi="宋体" w:eastAsia="宋体" w:cs="宋体"/>
          <w:color w:val="auto"/>
          <w:sz w:val="32"/>
          <w:szCs w:val="32"/>
          <w:shd w:val="clear" w:color="auto" w:fill="auto"/>
        </w:rPr>
        <w:t>表</w:t>
      </w:r>
      <w:bookmarkEnd w:id="62"/>
    </w:p>
    <w:p>
      <w:pPr>
        <w:spacing w:before="8" w:line="240" w:lineRule="auto"/>
        <w:rPr>
          <w:rFonts w:ascii="宋体" w:hAnsi="宋体" w:eastAsia="宋体" w:cs="宋体"/>
          <w:color w:val="auto"/>
          <w:sz w:val="4"/>
          <w:szCs w:val="4"/>
          <w:shd w:val="clear" w:color="auto" w:fill="auto"/>
        </w:rPr>
      </w:pPr>
    </w:p>
    <w:tbl>
      <w:tblPr>
        <w:tblStyle w:val="12"/>
        <w:tblW w:w="0" w:type="auto"/>
        <w:tblInd w:w="108"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9"/>
                <w:w w:val="115"/>
                <w:sz w:val="21"/>
                <w:szCs w:val="21"/>
                <w:shd w:val="clear" w:color="auto" w:fill="auto"/>
              </w:rPr>
              <w:t>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耕地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指利用地表耕作层种植农作物为主，每年种植一季及以上（含以一</w:t>
            </w:r>
            <w:r>
              <w:rPr>
                <w:rFonts w:hint="eastAsia" w:ascii="仿宋" w:hAnsi="仿宋" w:eastAsia="仿宋" w:cs="仿宋"/>
                <w:color w:val="auto"/>
                <w:spacing w:val="11"/>
                <w:sz w:val="21"/>
                <w:szCs w:val="21"/>
                <w:shd w:val="clear" w:color="auto" w:fill="auto"/>
              </w:rPr>
              <w:t xml:space="preserve"> </w:t>
            </w:r>
            <w:r>
              <w:rPr>
                <w:rFonts w:hint="eastAsia" w:ascii="仿宋" w:hAnsi="仿宋" w:eastAsia="仿宋" w:cs="仿宋"/>
                <w:color w:val="auto"/>
                <w:sz w:val="21"/>
                <w:szCs w:val="21"/>
                <w:shd w:val="clear" w:color="auto" w:fill="auto"/>
              </w:rPr>
              <w:t>年一季以上的耕种方式种植多年生作物）的土地，包括熟地，新开</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z w:val="21"/>
                <w:szCs w:val="21"/>
                <w:shd w:val="clear" w:color="auto" w:fill="auto"/>
              </w:rPr>
              <w:t>发、复垦、整理地，休闲地（含轮歇地、休耕地）；以及间有零星</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pacing w:val="3"/>
                <w:sz w:val="21"/>
                <w:szCs w:val="21"/>
                <w:shd w:val="clear" w:color="auto" w:fill="auto"/>
              </w:rPr>
              <w:t xml:space="preserve">果树、桑树或其他树木的耕地；包括南方宽度＜1.0 </w:t>
            </w:r>
            <w:r>
              <w:rPr>
                <w:rFonts w:hint="eastAsia" w:ascii="仿宋" w:hAnsi="仿宋" w:eastAsia="仿宋" w:cs="仿宋"/>
                <w:color w:val="auto"/>
                <w:spacing w:val="18"/>
                <w:sz w:val="21"/>
                <w:szCs w:val="21"/>
                <w:shd w:val="clear" w:color="auto" w:fill="auto"/>
              </w:rPr>
              <w:t xml:space="preserve"> </w:t>
            </w:r>
            <w:r>
              <w:rPr>
                <w:rFonts w:hint="eastAsia" w:ascii="仿宋" w:hAnsi="仿宋" w:eastAsia="仿宋" w:cs="仿宋"/>
                <w:color w:val="auto"/>
                <w:spacing w:val="2"/>
                <w:sz w:val="21"/>
                <w:szCs w:val="21"/>
                <w:shd w:val="clear" w:color="auto" w:fill="auto"/>
              </w:rPr>
              <w:t>米，北方宽度</w:t>
            </w:r>
            <w:r>
              <w:rPr>
                <w:rFonts w:hint="eastAsia" w:ascii="仿宋" w:hAnsi="仿宋" w:eastAsia="仿宋" w:cs="仿宋"/>
                <w:color w:val="auto"/>
                <w:spacing w:val="3"/>
                <w:sz w:val="21"/>
                <w:szCs w:val="21"/>
                <w:shd w:val="clear" w:color="auto" w:fill="auto"/>
              </w:rPr>
              <w:t>＜2.0 米固定的沟、渠、路和地坎(埂)；包括直接利用地表耕作层</w:t>
            </w:r>
            <w:r>
              <w:rPr>
                <w:rFonts w:hint="eastAsia" w:ascii="仿宋" w:hAnsi="仿宋" w:eastAsia="仿宋" w:cs="仿宋"/>
                <w:color w:val="auto"/>
                <w:spacing w:val="10"/>
                <w:sz w:val="21"/>
                <w:szCs w:val="21"/>
                <w:shd w:val="clear" w:color="auto" w:fill="auto"/>
              </w:rPr>
              <w:t xml:space="preserve"> </w:t>
            </w:r>
            <w:r>
              <w:rPr>
                <w:rFonts w:hint="eastAsia" w:ascii="仿宋" w:hAnsi="仿宋" w:eastAsia="仿宋" w:cs="仿宋"/>
                <w:color w:val="auto"/>
                <w:w w:val="105"/>
                <w:sz w:val="21"/>
                <w:szCs w:val="21"/>
                <w:shd w:val="clear" w:color="auto" w:fill="auto"/>
              </w:rPr>
              <w:t>种植的温室、大棚、地膜等保温、保湿设施用地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水田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指用于种植水稻、莲藕等水生农作物的耕地，包括实行水生、旱生农作物轮种的耕地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w w:val="105"/>
                <w:sz w:val="21"/>
                <w:szCs w:val="21"/>
                <w:shd w:val="clear" w:color="auto" w:fill="auto"/>
              </w:rPr>
              <w:t>0102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水浇地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指有水源保证和灌溉设施，在一般年景能正常灌溉，种植旱生农作</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物（含蔬菜）的耕地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0103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旱地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5"/>
                <w:sz w:val="21"/>
                <w:szCs w:val="21"/>
                <w:shd w:val="clear" w:color="auto" w:fill="auto"/>
              </w:rPr>
              <w:t>指无灌溉设施,主要靠天然降水种植旱生农作物的耕地，包括没有</w:t>
            </w:r>
            <w:r>
              <w:rPr>
                <w:rFonts w:hint="eastAsia" w:ascii="仿宋" w:hAnsi="仿宋" w:eastAsia="仿宋" w:cs="仿宋"/>
                <w:color w:val="auto"/>
                <w:spacing w:val="58"/>
                <w:sz w:val="21"/>
                <w:szCs w:val="21"/>
                <w:shd w:val="clear" w:color="auto" w:fill="auto"/>
              </w:rPr>
              <w:t xml:space="preserve"> </w:t>
            </w:r>
            <w:r>
              <w:rPr>
                <w:rFonts w:hint="eastAsia" w:ascii="仿宋" w:hAnsi="仿宋" w:eastAsia="仿宋" w:cs="仿宋"/>
                <w:color w:val="auto"/>
                <w:w w:val="105"/>
                <w:sz w:val="21"/>
                <w:szCs w:val="21"/>
                <w:shd w:val="clear" w:color="auto" w:fill="auto"/>
              </w:rPr>
              <w:t>灌溉设施，仅靠引洪淤灌的耕地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9"/>
                <w:w w:val="115"/>
                <w:sz w:val="21"/>
                <w:szCs w:val="21"/>
                <w:shd w:val="clear" w:color="auto" w:fill="auto"/>
              </w:rPr>
              <w:t>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园地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sz w:val="21"/>
                <w:szCs w:val="21"/>
                <w:shd w:val="clear" w:color="auto" w:fill="auto"/>
              </w:rPr>
              <w:t>指种植以采集果、叶、根、茎、汁等为主的集约经营的多年生作物，</w:t>
            </w:r>
            <w:r>
              <w:rPr>
                <w:rFonts w:hint="eastAsia" w:ascii="仿宋" w:hAnsi="仿宋" w:eastAsia="仿宋" w:cs="仿宋"/>
                <w:color w:val="auto"/>
                <w:spacing w:val="81"/>
                <w:sz w:val="21"/>
                <w:szCs w:val="21"/>
                <w:shd w:val="clear" w:color="auto" w:fill="auto"/>
              </w:rPr>
              <w:t xml:space="preserve"> </w:t>
            </w:r>
            <w:r>
              <w:rPr>
                <w:rFonts w:hint="eastAsia" w:ascii="仿宋" w:hAnsi="仿宋" w:eastAsia="仿宋" w:cs="仿宋"/>
                <w:color w:val="auto"/>
                <w:spacing w:val="2"/>
                <w:w w:val="105"/>
                <w:sz w:val="21"/>
                <w:szCs w:val="21"/>
                <w:shd w:val="clear" w:color="auto" w:fill="auto"/>
              </w:rPr>
              <w:t>覆盖度大于</w:t>
            </w:r>
            <w:r>
              <w:rPr>
                <w:rFonts w:hint="eastAsia" w:ascii="仿宋" w:hAnsi="仿宋" w:eastAsia="仿宋" w:cs="仿宋"/>
                <w:color w:val="auto"/>
                <w:spacing w:val="-64"/>
                <w:w w:val="105"/>
                <w:sz w:val="21"/>
                <w:szCs w:val="21"/>
                <w:shd w:val="clear" w:color="auto" w:fill="auto"/>
              </w:rPr>
              <w:t xml:space="preserve"> </w:t>
            </w:r>
            <w:r>
              <w:rPr>
                <w:rFonts w:hint="eastAsia" w:ascii="仿宋" w:hAnsi="仿宋" w:eastAsia="仿宋" w:cs="仿宋"/>
                <w:color w:val="auto"/>
                <w:spacing w:val="4"/>
                <w:w w:val="105"/>
                <w:sz w:val="21"/>
                <w:szCs w:val="21"/>
                <w:shd w:val="clear" w:color="auto" w:fill="auto"/>
              </w:rPr>
              <w:t>50%或每亩株数大于合理株数</w:t>
            </w:r>
            <w:r>
              <w:rPr>
                <w:rFonts w:hint="eastAsia" w:ascii="仿宋" w:hAnsi="仿宋" w:eastAsia="仿宋" w:cs="仿宋"/>
                <w:color w:val="auto"/>
                <w:spacing w:val="-63"/>
                <w:w w:val="105"/>
                <w:sz w:val="21"/>
                <w:szCs w:val="21"/>
                <w:shd w:val="clear" w:color="auto" w:fill="auto"/>
              </w:rPr>
              <w:t xml:space="preserve"> </w:t>
            </w:r>
            <w:r>
              <w:rPr>
                <w:rFonts w:hint="eastAsia" w:ascii="仿宋" w:hAnsi="仿宋" w:eastAsia="仿宋" w:cs="仿宋"/>
                <w:color w:val="auto"/>
                <w:spacing w:val="3"/>
                <w:w w:val="105"/>
                <w:sz w:val="21"/>
                <w:szCs w:val="21"/>
                <w:shd w:val="clear" w:color="auto" w:fill="auto"/>
              </w:rPr>
              <w:t>70%的土地，包括用于育</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w w:val="105"/>
                <w:sz w:val="21"/>
                <w:szCs w:val="21"/>
                <w:shd w:val="clear" w:color="auto" w:fill="auto"/>
              </w:rPr>
              <w:t>苗的土地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0201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果园</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指种植果树的园地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0202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茶园</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指种植茶树的园地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0203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橡胶园</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指种植橡胶的园地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0204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其他园地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指种植桑树、可可、咖啡、油棕、胡椒、药材等其他多年生作物的</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园地，包括用于育苗的土地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9"/>
                <w:w w:val="115"/>
                <w:sz w:val="21"/>
                <w:szCs w:val="21"/>
                <w:shd w:val="clear" w:color="auto" w:fill="auto"/>
              </w:rPr>
              <w:t>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林地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指生长乔木、竹类、灌木的土地。不包括生长林木的湿地，城镇、</w:t>
            </w:r>
            <w:r>
              <w:rPr>
                <w:rFonts w:hint="eastAsia" w:ascii="仿宋" w:hAnsi="仿宋" w:eastAsia="仿宋" w:cs="仿宋"/>
                <w:color w:val="auto"/>
                <w:sz w:val="21"/>
                <w:szCs w:val="21"/>
                <w:shd w:val="clear" w:color="auto" w:fill="auto"/>
              </w:rPr>
              <w:t>村庄范围内的绿化林木用地，铁路、公路征地范围内的林木，以及</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河流、沟渠的护堤林用地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0301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乔木林地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指乔木郁闭度≥0.2</w:t>
            </w:r>
            <w:r>
              <w:rPr>
                <w:rFonts w:hint="eastAsia" w:ascii="仿宋" w:hAnsi="仿宋" w:eastAsia="仿宋" w:cs="仿宋"/>
                <w:color w:val="auto"/>
                <w:spacing w:val="67"/>
                <w:sz w:val="21"/>
                <w:szCs w:val="21"/>
                <w:shd w:val="clear" w:color="auto" w:fill="auto"/>
              </w:rPr>
              <w:t xml:space="preserve"> </w:t>
            </w:r>
            <w:r>
              <w:rPr>
                <w:rFonts w:hint="eastAsia" w:ascii="仿宋" w:hAnsi="仿宋" w:eastAsia="仿宋" w:cs="仿宋"/>
                <w:color w:val="auto"/>
                <w:sz w:val="21"/>
                <w:szCs w:val="21"/>
                <w:shd w:val="clear" w:color="auto" w:fill="auto"/>
              </w:rPr>
              <w:t>的林地，不包括森林沼泽</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0302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竹林地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指生长竹类植物，郁闭度≥0.2</w:t>
            </w:r>
            <w:r>
              <w:rPr>
                <w:rFonts w:hint="eastAsia" w:ascii="仿宋" w:hAnsi="仿宋" w:eastAsia="仿宋" w:cs="仿宋"/>
                <w:color w:val="auto"/>
                <w:spacing w:val="51"/>
                <w:sz w:val="21"/>
                <w:szCs w:val="21"/>
                <w:shd w:val="clear" w:color="auto" w:fill="auto"/>
              </w:rPr>
              <w:t xml:space="preserve"> </w:t>
            </w:r>
            <w:r>
              <w:rPr>
                <w:rFonts w:hint="eastAsia" w:ascii="仿宋" w:hAnsi="仿宋" w:eastAsia="仿宋" w:cs="仿宋"/>
                <w:color w:val="auto"/>
                <w:sz w:val="21"/>
                <w:szCs w:val="21"/>
                <w:shd w:val="clear" w:color="auto" w:fill="auto"/>
              </w:rPr>
              <w:t>的林地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0303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灌木林地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指灌木覆盖度≥40%的林地，不包括灌丛沼泽</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0304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其他林地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 xml:space="preserve">指疏林地（树木郁闭度≥0.1、＜0.2 </w:t>
            </w:r>
            <w:r>
              <w:rPr>
                <w:rFonts w:hint="eastAsia" w:ascii="仿宋" w:hAnsi="仿宋" w:eastAsia="仿宋" w:cs="仿宋"/>
                <w:color w:val="auto"/>
                <w:spacing w:val="3"/>
                <w:sz w:val="21"/>
                <w:szCs w:val="21"/>
                <w:shd w:val="clear" w:color="auto" w:fill="auto"/>
              </w:rPr>
              <w:t>的林地）、未成林地，以及</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迹地、苗圃等林地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9"/>
                <w:w w:val="115"/>
                <w:sz w:val="21"/>
                <w:szCs w:val="21"/>
                <w:shd w:val="clear" w:color="auto" w:fill="auto"/>
              </w:rPr>
              <w:t>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草地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3"/>
                <w:sz w:val="21"/>
                <w:szCs w:val="21"/>
                <w:shd w:val="clear" w:color="auto" w:fill="auto"/>
              </w:rPr>
              <w:t xml:space="preserve">指生长草本植物为主的土地，包括乔木郁闭度＜0.1 </w:t>
            </w:r>
            <w:r>
              <w:rPr>
                <w:rFonts w:hint="eastAsia" w:ascii="仿宋" w:hAnsi="仿宋" w:eastAsia="仿宋" w:cs="仿宋"/>
                <w:color w:val="auto"/>
                <w:spacing w:val="2"/>
                <w:sz w:val="21"/>
                <w:szCs w:val="21"/>
                <w:shd w:val="clear" w:color="auto" w:fill="auto"/>
              </w:rPr>
              <w:t>的疏林草地、</w:t>
            </w:r>
            <w:r>
              <w:rPr>
                <w:rFonts w:hint="eastAsia" w:ascii="仿宋" w:hAnsi="仿宋" w:eastAsia="仿宋" w:cs="仿宋"/>
                <w:color w:val="auto"/>
                <w:spacing w:val="-63"/>
                <w:sz w:val="21"/>
                <w:szCs w:val="21"/>
                <w:shd w:val="clear" w:color="auto" w:fill="auto"/>
              </w:rPr>
              <w:t xml:space="preserve"> </w:t>
            </w:r>
            <w:r>
              <w:rPr>
                <w:rFonts w:hint="eastAsia" w:ascii="仿宋" w:hAnsi="仿宋" w:eastAsia="仿宋" w:cs="仿宋"/>
                <w:color w:val="auto"/>
                <w:sz w:val="21"/>
                <w:szCs w:val="21"/>
                <w:shd w:val="clear" w:color="auto" w:fill="auto"/>
              </w:rPr>
              <w:t>灌木覆盖度＜40％的灌丛草地，不包括生长草本植物的湿地、盐碱</w:t>
            </w:r>
            <w:r>
              <w:rPr>
                <w:rFonts w:hint="eastAsia" w:ascii="仿宋" w:hAnsi="仿宋" w:eastAsia="仿宋" w:cs="仿宋"/>
                <w:color w:val="auto"/>
                <w:w w:val="105"/>
                <w:sz w:val="21"/>
                <w:szCs w:val="21"/>
                <w:shd w:val="clear" w:color="auto" w:fill="auto"/>
              </w:rPr>
              <w:t>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0401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天然牧草地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指以天然草本植物为主，用于放牧或割草的草地，包括实施禁牧措施的草地</w:t>
            </w:r>
          </w:p>
        </w:tc>
      </w:tr>
      <w:tr>
        <w:tblPrEx>
          <w:tblCellMar>
            <w:top w:w="0" w:type="dxa"/>
            <w:left w:w="0" w:type="dxa"/>
            <w:bottom w:w="0" w:type="dxa"/>
            <w:right w:w="0" w:type="dxa"/>
          </w:tblCellMar>
        </w:tblPrEx>
        <w:trPr>
          <w:trHeight w:val="23" w:hRule="atLeast"/>
        </w:trPr>
        <w:tc>
          <w:tcPr>
            <w:tcW w:w="85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0402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人工牧草地</w:t>
            </w:r>
          </w:p>
        </w:tc>
        <w:tc>
          <w:tcPr>
            <w:tcW w:w="5962"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指人工种植牧草的草地，不包括种植饲草的耕地</w:t>
            </w:r>
          </w:p>
        </w:tc>
      </w:tr>
    </w:tbl>
    <w:p>
      <w:pPr>
        <w:spacing w:after="0" w:line="240" w:lineRule="auto"/>
        <w:jc w:val="left"/>
        <w:rPr>
          <w:rFonts w:ascii="宋体" w:hAnsi="宋体" w:eastAsia="宋体" w:cs="宋体"/>
          <w:color w:val="auto"/>
          <w:sz w:val="19"/>
          <w:szCs w:val="19"/>
          <w:shd w:val="clear" w:color="auto" w:fill="auto"/>
        </w:rPr>
        <w:sectPr>
          <w:footerReference r:id="rId9" w:type="default"/>
          <w:pgSz w:w="11910" w:h="16850"/>
          <w:pgMar w:top="1600" w:right="1480" w:bottom="1160" w:left="1680" w:header="72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3" w:name="国土空间调查、规划、用途管制 用地用海分类指南 2020 16"/>
            <w:bookmarkEnd w:id="63"/>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0403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其他草地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指表层为土质，不用于放牧的草地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湿地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指陆地和水域的交汇处，水位接近或处于地表面，或有浅层积水，</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w w:val="105"/>
                <w:sz w:val="21"/>
                <w:szCs w:val="21"/>
                <w:shd w:val="clear" w:color="auto" w:fill="auto"/>
              </w:rPr>
              <w:t>且处于自然状态的土地</w:t>
            </w:r>
          </w:p>
        </w:tc>
      </w:tr>
      <w:tr>
        <w:tblPrEx>
          <w:tblCellMar>
            <w:top w:w="0" w:type="dxa"/>
            <w:left w:w="0" w:type="dxa"/>
            <w:bottom w:w="0" w:type="dxa"/>
            <w:right w:w="0" w:type="dxa"/>
          </w:tblCellMar>
        </w:tblPrEx>
        <w:trPr>
          <w:trHeight w:val="34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森林沼泽</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指以乔木植物为优势群落、郁闭度≥0.1</w:t>
            </w:r>
            <w:r>
              <w:rPr>
                <w:rFonts w:hint="eastAsia" w:ascii="仿宋" w:hAnsi="仿宋" w:eastAsia="仿宋" w:cs="仿宋"/>
                <w:color w:val="auto"/>
                <w:spacing w:val="85"/>
                <w:sz w:val="21"/>
                <w:szCs w:val="21"/>
                <w:shd w:val="clear" w:color="auto" w:fill="auto"/>
              </w:rPr>
              <w:t xml:space="preserve"> </w:t>
            </w:r>
            <w:r>
              <w:rPr>
                <w:rFonts w:hint="eastAsia" w:ascii="仿宋" w:hAnsi="仿宋" w:eastAsia="仿宋" w:cs="仿宋"/>
                <w:color w:val="auto"/>
                <w:spacing w:val="2"/>
                <w:sz w:val="21"/>
                <w:szCs w:val="21"/>
                <w:shd w:val="clear" w:color="auto" w:fill="auto"/>
              </w:rPr>
              <w:t>的淡水沼泽</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灌丛沼泽</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指以灌木植物为优势群落、覆盖度≥40％的淡水沼泽</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沼泽草地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指以天然草本植物为主的沼泽化的低地草甸、高寒草甸</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其他沼泽地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指除森林沼泽、灌丛沼泽和沼泽草地外、地表经常过湿或有薄层积</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z w:val="21"/>
                <w:szCs w:val="21"/>
                <w:shd w:val="clear" w:color="auto" w:fill="auto"/>
              </w:rPr>
              <w:t>水，生长沼生或部分沼生和部分湿生、水生或盐生植物的土地，包</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括草本沼泽、苔藓沼泽、内陆盐沼等</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沿海滩涂</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指沿海大潮高潮位与低潮位之间的潮浸地带，包括海岛的滩涂，不</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包括已利用的滩涂</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内陆滩涂</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指河流、湖泊常水位至洪水位间的滩地，时令河、湖洪水位以下的</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pacing w:val="4"/>
                <w:sz w:val="21"/>
                <w:szCs w:val="21"/>
                <w:shd w:val="clear" w:color="auto" w:fill="auto"/>
              </w:rPr>
              <w:t>滩地，水库正常蓄水位与洪水位间的滩地，包括海岛的内陆滩地，</w:t>
            </w:r>
            <w:r>
              <w:rPr>
                <w:rFonts w:hint="eastAsia" w:ascii="仿宋" w:hAnsi="仿宋" w:eastAsia="仿宋" w:cs="仿宋"/>
                <w:color w:val="auto"/>
                <w:spacing w:val="66"/>
                <w:sz w:val="21"/>
                <w:szCs w:val="21"/>
                <w:shd w:val="clear" w:color="auto" w:fill="auto"/>
              </w:rPr>
              <w:t xml:space="preserve"> </w:t>
            </w:r>
            <w:r>
              <w:rPr>
                <w:rFonts w:hint="eastAsia" w:ascii="仿宋" w:hAnsi="仿宋" w:eastAsia="仿宋" w:cs="仿宋"/>
                <w:color w:val="auto"/>
                <w:w w:val="105"/>
                <w:sz w:val="21"/>
                <w:szCs w:val="21"/>
                <w:shd w:val="clear" w:color="auto" w:fill="auto"/>
              </w:rPr>
              <w:t>不包括已利用的滩地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0507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红树林地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指沿海生长红树植物的土地，包括红树林苗圃</w:t>
            </w:r>
          </w:p>
        </w:tc>
      </w:tr>
      <w:tr>
        <w:tblPrEx>
          <w:tblCellMar>
            <w:top w:w="0" w:type="dxa"/>
            <w:left w:w="0" w:type="dxa"/>
            <w:bottom w:w="0" w:type="dxa"/>
            <w:right w:w="0" w:type="dxa"/>
          </w:tblCellMar>
        </w:tblPrEx>
        <w:trPr>
          <w:trHeight w:val="924"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农</w:t>
            </w:r>
            <w:r>
              <w:rPr>
                <w:rFonts w:hint="eastAsia" w:ascii="仿宋" w:hAnsi="仿宋" w:eastAsia="仿宋" w:cs="仿宋"/>
                <w:b/>
                <w:bCs/>
                <w:color w:val="auto"/>
                <w:spacing w:val="-34"/>
                <w:w w:val="105"/>
                <w:sz w:val="21"/>
                <w:szCs w:val="21"/>
                <w:shd w:val="clear" w:color="auto" w:fill="auto"/>
              </w:rPr>
              <w:t xml:space="preserve"> </w:t>
            </w:r>
            <w:r>
              <w:rPr>
                <w:rFonts w:hint="eastAsia" w:ascii="仿宋" w:hAnsi="仿宋" w:eastAsia="仿宋" w:cs="仿宋"/>
                <w:b/>
                <w:bCs/>
                <w:color w:val="auto"/>
                <w:spacing w:val="10"/>
                <w:w w:val="105"/>
                <w:sz w:val="21"/>
                <w:szCs w:val="21"/>
                <w:shd w:val="clear" w:color="auto" w:fill="auto"/>
              </w:rPr>
              <w:t>业设施建</w:t>
            </w:r>
            <w:r>
              <w:rPr>
                <w:rFonts w:hint="eastAsia" w:ascii="仿宋" w:hAnsi="仿宋" w:eastAsia="仿宋" w:cs="仿宋"/>
                <w:b/>
                <w:bCs/>
                <w:color w:val="auto"/>
                <w:spacing w:val="-34"/>
                <w:w w:val="105"/>
                <w:sz w:val="21"/>
                <w:szCs w:val="21"/>
                <w:shd w:val="clear" w:color="auto" w:fill="auto"/>
              </w:rPr>
              <w:t xml:space="preserve"> </w:t>
            </w:r>
            <w:r>
              <w:rPr>
                <w:rFonts w:hint="eastAsia" w:ascii="仿宋" w:hAnsi="仿宋" w:eastAsia="仿宋" w:cs="仿宋"/>
                <w:b/>
                <w:bCs/>
                <w:color w:val="auto"/>
                <w:spacing w:val="7"/>
                <w:w w:val="105"/>
                <w:sz w:val="21"/>
                <w:szCs w:val="21"/>
                <w:shd w:val="clear" w:color="auto" w:fill="auto"/>
              </w:rPr>
              <w:t>设用</w:t>
            </w:r>
            <w:r>
              <w:rPr>
                <w:rFonts w:hint="eastAsia" w:ascii="仿宋" w:hAnsi="仿宋" w:eastAsia="仿宋" w:cs="仿宋"/>
                <w:b/>
                <w:bCs/>
                <w:color w:val="auto"/>
                <w:w w:val="102"/>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指对地表耕作层造成破坏的，为农业生产、农村生活服务的乡村道</w:t>
            </w:r>
            <w:r>
              <w:rPr>
                <w:rFonts w:hint="eastAsia" w:ascii="仿宋" w:hAnsi="仿宋" w:eastAsia="仿宋" w:cs="仿宋"/>
                <w:color w:val="auto"/>
                <w:spacing w:val="11"/>
                <w:sz w:val="21"/>
                <w:szCs w:val="21"/>
                <w:shd w:val="clear" w:color="auto" w:fill="auto"/>
              </w:rPr>
              <w:t xml:space="preserve"> </w:t>
            </w:r>
            <w:r>
              <w:rPr>
                <w:rFonts w:hint="eastAsia" w:ascii="仿宋" w:hAnsi="仿宋" w:eastAsia="仿宋" w:cs="仿宋"/>
                <w:color w:val="auto"/>
                <w:spacing w:val="2"/>
                <w:w w:val="105"/>
                <w:sz w:val="21"/>
                <w:szCs w:val="21"/>
                <w:shd w:val="clear" w:color="auto" w:fill="auto"/>
              </w:rPr>
              <w:t>路用地以及种植设施、畜禽养殖设施、水产养殖设施建设用地</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0601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乡村道路用地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指村庄内部道路用地以及对地表耕作层造成破坏的村道用地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060101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村道用地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指在农村范围内，乡道及乡道以上公路以外，用于村间、田间交通</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sz w:val="21"/>
                <w:szCs w:val="21"/>
                <w:shd w:val="clear" w:color="auto" w:fill="auto"/>
              </w:rPr>
              <w:t>运输，服务于农村生活生产的对地表耕作层造成破坏的硬化型道路</w:t>
            </w:r>
            <w:r>
              <w:rPr>
                <w:rFonts w:hint="eastAsia" w:ascii="仿宋" w:hAnsi="仿宋" w:eastAsia="仿宋" w:cs="仿宋"/>
                <w:color w:val="auto"/>
                <w:w w:val="105"/>
                <w:sz w:val="21"/>
                <w:szCs w:val="21"/>
                <w:shd w:val="clear" w:color="auto" w:fill="auto"/>
              </w:rPr>
              <w:t>（含机耕道），不包括村庄内部道路用地和田间道</w:t>
            </w:r>
          </w:p>
        </w:tc>
      </w:tr>
      <w:tr>
        <w:tblPrEx>
          <w:tblCellMar>
            <w:top w:w="0" w:type="dxa"/>
            <w:left w:w="0" w:type="dxa"/>
            <w:bottom w:w="0" w:type="dxa"/>
            <w:right w:w="0" w:type="dxa"/>
          </w:tblCellMar>
        </w:tblPrEx>
        <w:trPr>
          <w:trHeight w:val="49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060102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村庄内部道路用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指村庄内的道路用地，包括其交叉口用地，不包括穿越村庄的公路</w:t>
            </w:r>
          </w:p>
        </w:tc>
      </w:tr>
      <w:tr>
        <w:tblPrEx>
          <w:tblCellMar>
            <w:top w:w="0" w:type="dxa"/>
            <w:left w:w="0" w:type="dxa"/>
            <w:bottom w:w="0" w:type="dxa"/>
            <w:right w:w="0" w:type="dxa"/>
          </w:tblCellMar>
        </w:tblPrEx>
        <w:trPr>
          <w:trHeight w:val="133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0602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4"/>
                <w:sz w:val="21"/>
                <w:szCs w:val="21"/>
                <w:shd w:val="clear" w:color="auto" w:fill="auto"/>
              </w:rPr>
              <w:t>种植设施建设用</w:t>
            </w:r>
            <w:r>
              <w:rPr>
                <w:rFonts w:hint="eastAsia" w:ascii="仿宋" w:hAnsi="仿宋" w:eastAsia="仿宋" w:cs="仿宋"/>
                <w:color w:val="auto"/>
                <w:spacing w:val="-55"/>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指对地表耕作层造成破坏的，工厂化作物生产和为生产服务的看护</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sz w:val="21"/>
                <w:szCs w:val="21"/>
                <w:shd w:val="clear" w:color="auto" w:fill="auto"/>
              </w:rPr>
              <w:t>房、农资农机具存放场所等，以及与生产直接关联的烘干晾晒、分</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pacing w:val="4"/>
                <w:sz w:val="21"/>
                <w:szCs w:val="21"/>
                <w:shd w:val="clear" w:color="auto" w:fill="auto"/>
              </w:rPr>
              <w:t>拣包装、保鲜存储等设施用地，不包括直接利用地表种植的大棚、</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w w:val="105"/>
                <w:sz w:val="21"/>
                <w:szCs w:val="21"/>
                <w:shd w:val="clear" w:color="auto" w:fill="auto"/>
              </w:rPr>
              <w:t>地膜等保温、保湿设施用地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w w:val="105"/>
                <w:sz w:val="21"/>
                <w:szCs w:val="21"/>
                <w:shd w:val="clear" w:color="auto" w:fill="auto"/>
              </w:rPr>
              <w:t>0603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1"/>
                <w:w w:val="105"/>
                <w:sz w:val="21"/>
                <w:szCs w:val="21"/>
                <w:shd w:val="clear" w:color="auto" w:fill="auto"/>
              </w:rPr>
              <w:t>畜禽养殖设</w:t>
            </w:r>
            <w:r>
              <w:rPr>
                <w:rFonts w:hint="eastAsia" w:ascii="仿宋" w:hAnsi="仿宋" w:eastAsia="仿宋" w:cs="仿宋"/>
                <w:color w:val="auto"/>
                <w:spacing w:val="-86"/>
                <w:w w:val="105"/>
                <w:sz w:val="21"/>
                <w:szCs w:val="21"/>
                <w:shd w:val="clear" w:color="auto" w:fill="auto"/>
              </w:rPr>
              <w:t xml:space="preserve"> </w:t>
            </w:r>
            <w:r>
              <w:rPr>
                <w:rFonts w:hint="eastAsia" w:ascii="仿宋" w:hAnsi="仿宋" w:eastAsia="仿宋" w:cs="仿宋"/>
                <w:color w:val="auto"/>
                <w:spacing w:val="7"/>
                <w:w w:val="105"/>
                <w:sz w:val="21"/>
                <w:szCs w:val="21"/>
                <w:shd w:val="clear" w:color="auto" w:fill="auto"/>
              </w:rPr>
              <w:t>施建</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w w:val="105"/>
                <w:sz w:val="21"/>
                <w:szCs w:val="21"/>
                <w:shd w:val="clear" w:color="auto" w:fill="auto"/>
              </w:rPr>
              <w:t>设用地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指对地表耕作层造成破坏的，经营性畜禽养殖生产及直接关联的圈</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sz w:val="21"/>
                <w:szCs w:val="21"/>
                <w:shd w:val="clear" w:color="auto" w:fill="auto"/>
              </w:rPr>
              <w:t>舍、废弃物处理、检验检疫等设施用地，不包括屠宰和肉类加工场</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所用地等</w:t>
            </w:r>
          </w:p>
        </w:tc>
      </w:tr>
      <w:tr>
        <w:tblPrEx>
          <w:tblCellMar>
            <w:top w:w="0" w:type="dxa"/>
            <w:left w:w="0" w:type="dxa"/>
            <w:bottom w:w="0" w:type="dxa"/>
            <w:right w:w="0" w:type="dxa"/>
          </w:tblCellMar>
        </w:tblPrEx>
        <w:trPr>
          <w:trHeight w:val="66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w w:val="105"/>
                <w:sz w:val="21"/>
                <w:szCs w:val="21"/>
                <w:shd w:val="clear" w:color="auto" w:fill="auto"/>
              </w:rPr>
              <w:t>0604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4"/>
                <w:sz w:val="21"/>
                <w:szCs w:val="21"/>
                <w:shd w:val="clear" w:color="auto" w:fill="auto"/>
              </w:rPr>
              <w:t>水产养殖设施建</w:t>
            </w:r>
            <w:r>
              <w:rPr>
                <w:rFonts w:hint="eastAsia" w:ascii="仿宋" w:hAnsi="仿宋" w:eastAsia="仿宋" w:cs="仿宋"/>
                <w:color w:val="auto"/>
                <w:spacing w:val="-55"/>
                <w:sz w:val="21"/>
                <w:szCs w:val="21"/>
                <w:shd w:val="clear" w:color="auto" w:fill="auto"/>
              </w:rPr>
              <w:t xml:space="preserve"> </w:t>
            </w:r>
            <w:r>
              <w:rPr>
                <w:rFonts w:hint="eastAsia" w:ascii="仿宋" w:hAnsi="仿宋" w:eastAsia="仿宋" w:cs="仿宋"/>
                <w:color w:val="auto"/>
                <w:w w:val="105"/>
                <w:sz w:val="21"/>
                <w:szCs w:val="21"/>
                <w:shd w:val="clear" w:color="auto" w:fill="auto"/>
              </w:rPr>
              <w:t>设用地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指对地表耕作层造成破坏的，工厂化水产养殖生产及直接关联的硬</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w w:val="105"/>
                <w:sz w:val="21"/>
                <w:szCs w:val="21"/>
                <w:shd w:val="clear" w:color="auto" w:fill="auto"/>
              </w:rPr>
              <w:t>化养殖池、看护房、粪污处置、检验检疫等设施用地</w:t>
            </w:r>
          </w:p>
        </w:tc>
      </w:tr>
      <w:tr>
        <w:tblPrEx>
          <w:tblCellMar>
            <w:top w:w="0" w:type="dxa"/>
            <w:left w:w="0" w:type="dxa"/>
            <w:bottom w:w="0" w:type="dxa"/>
            <w:right w:w="0" w:type="dxa"/>
          </w:tblCellMar>
        </w:tblPrEx>
        <w:trPr>
          <w:trHeight w:val="439"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居</w:t>
            </w:r>
            <w:r>
              <w:rPr>
                <w:rFonts w:hint="eastAsia" w:ascii="仿宋" w:hAnsi="仿宋" w:eastAsia="仿宋" w:cs="仿宋"/>
                <w:b/>
                <w:bCs/>
                <w:color w:val="auto"/>
                <w:spacing w:val="-36"/>
                <w:w w:val="105"/>
                <w:sz w:val="21"/>
                <w:szCs w:val="21"/>
                <w:shd w:val="clear" w:color="auto" w:fill="auto"/>
              </w:rPr>
              <w:t xml:space="preserve"> </w:t>
            </w:r>
            <w:r>
              <w:rPr>
                <w:rFonts w:hint="eastAsia" w:ascii="仿宋" w:hAnsi="仿宋" w:eastAsia="仿宋" w:cs="仿宋"/>
                <w:b/>
                <w:bCs/>
                <w:color w:val="auto"/>
                <w:spacing w:val="9"/>
                <w:w w:val="105"/>
                <w:sz w:val="21"/>
                <w:szCs w:val="21"/>
                <w:shd w:val="clear" w:color="auto" w:fill="auto"/>
              </w:rPr>
              <w:t>住用地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指城乡住宅用地及其居住生活配套的社区服务设施用地</w:t>
            </w:r>
          </w:p>
        </w:tc>
      </w:tr>
      <w:tr>
        <w:tblPrEx>
          <w:tblCellMar>
            <w:top w:w="0" w:type="dxa"/>
            <w:left w:w="0" w:type="dxa"/>
            <w:bottom w:w="0" w:type="dxa"/>
            <w:right w:w="0" w:type="dxa"/>
          </w:tblCellMar>
        </w:tblPrEx>
        <w:trPr>
          <w:trHeight w:val="49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城镇住宅用地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指用于城镇生活居住功能的各类住宅建筑用地及其附属设施用地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一类城镇住宅用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指配套设施齐全、环境良好，以三层及以下住宅为主的住宅建筑用</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地及其附属道路、附属绿地、停车场等用地</w:t>
            </w:r>
          </w:p>
        </w:tc>
      </w:tr>
      <w:tr>
        <w:tblPrEx>
          <w:tblCellMar>
            <w:top w:w="0" w:type="dxa"/>
            <w:left w:w="0" w:type="dxa"/>
            <w:bottom w:w="0" w:type="dxa"/>
            <w:right w:w="0" w:type="dxa"/>
          </w:tblCellMar>
        </w:tblPrEx>
        <w:trPr>
          <w:trHeight w:val="66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5"/>
                <w:w w:val="105"/>
                <w:sz w:val="21"/>
                <w:szCs w:val="21"/>
                <w:shd w:val="clear" w:color="auto" w:fill="auto"/>
              </w:rPr>
              <w:t>070102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二类城镇住宅用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指配套设施较齐全、环境良好，以四层及以上住宅为主的住宅建筑</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用地及其附属道路、附属绿地、停车场等用地</w:t>
            </w:r>
          </w:p>
        </w:tc>
      </w:tr>
      <w:tr>
        <w:tblPrEx>
          <w:tblCellMar>
            <w:top w:w="0" w:type="dxa"/>
            <w:left w:w="0" w:type="dxa"/>
            <w:bottom w:w="0" w:type="dxa"/>
            <w:right w:w="0" w:type="dxa"/>
          </w:tblCellMar>
        </w:tblPrEx>
        <w:trPr>
          <w:trHeight w:val="49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070103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三类城镇住宅用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指配套设施较欠缺、环境较差，以需要加以改造的简陋住宅为主的</w:t>
            </w:r>
          </w:p>
        </w:tc>
      </w:tr>
    </w:tbl>
    <w:p>
      <w:pPr>
        <w:spacing w:after="0" w:line="240" w:lineRule="auto"/>
        <w:jc w:val="left"/>
        <w:rPr>
          <w:rFonts w:ascii="宋体" w:hAnsi="宋体" w:eastAsia="宋体" w:cs="宋体"/>
          <w:color w:val="auto"/>
          <w:sz w:val="19"/>
          <w:szCs w:val="19"/>
          <w:shd w:val="clear" w:color="auto" w:fill="auto"/>
        </w:rPr>
        <w:sectPr>
          <w:footerReference r:id="rId10" w:type="default"/>
          <w:pgSz w:w="11910" w:h="16850"/>
          <w:pgMar w:top="1360" w:right="1480" w:bottom="1160" w:left="1680" w:header="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4" w:name="国土空间调查、规划、用途管制 用地用海分类指南 2020 17"/>
            <w:bookmarkEnd w:id="64"/>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1"/>
                <w:szCs w:val="21"/>
                <w:shd w:val="clear" w:color="auto" w:fill="auto"/>
              </w:rPr>
            </w:pPr>
          </w:p>
        </w:tc>
        <w:tc>
          <w:tcPr>
            <w:tcW w:w="1697"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color w:val="auto"/>
                <w:sz w:val="21"/>
                <w:szCs w:val="21"/>
                <w:shd w:val="clear" w:color="auto" w:fill="auto"/>
              </w:rPr>
            </w:pP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sz w:val="21"/>
                <w:szCs w:val="21"/>
                <w:shd w:val="clear" w:color="auto" w:fill="auto"/>
              </w:rPr>
              <w:t>住宅建筑用地及其附属道路、附属绿地、停车场等用地，包括危房、</w:t>
            </w:r>
            <w:r>
              <w:rPr>
                <w:rFonts w:hint="eastAsia" w:ascii="仿宋" w:hAnsi="仿宋" w:eastAsia="仿宋" w:cs="仿宋"/>
                <w:color w:val="auto"/>
                <w:spacing w:val="81"/>
                <w:sz w:val="21"/>
                <w:szCs w:val="21"/>
                <w:shd w:val="clear" w:color="auto" w:fill="auto"/>
              </w:rPr>
              <w:t xml:space="preserve"> </w:t>
            </w:r>
            <w:r>
              <w:rPr>
                <w:rFonts w:hint="eastAsia" w:ascii="仿宋" w:hAnsi="仿宋" w:eastAsia="仿宋" w:cs="仿宋"/>
                <w:color w:val="auto"/>
                <w:w w:val="105"/>
                <w:sz w:val="21"/>
                <w:szCs w:val="21"/>
                <w:shd w:val="clear" w:color="auto" w:fill="auto"/>
              </w:rPr>
              <w:t>棚户区、临时住宅等用地</w:t>
            </w:r>
          </w:p>
        </w:tc>
      </w:tr>
      <w:tr>
        <w:tblPrEx>
          <w:tblCellMar>
            <w:top w:w="0" w:type="dxa"/>
            <w:left w:w="0" w:type="dxa"/>
            <w:bottom w:w="0" w:type="dxa"/>
            <w:right w:w="0" w:type="dxa"/>
          </w:tblCellMar>
        </w:tblPrEx>
        <w:trPr>
          <w:trHeight w:val="132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城镇社区服务设</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指为城镇居住生活配套的社区服务设施用地，包括社区服务站以及</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z w:val="21"/>
                <w:szCs w:val="21"/>
                <w:shd w:val="clear" w:color="auto" w:fill="auto"/>
              </w:rPr>
              <w:t>托儿所、社区卫生服务站、文化活动站、小型综合体育场地、小型</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z w:val="21"/>
                <w:szCs w:val="21"/>
                <w:shd w:val="clear" w:color="auto" w:fill="auto"/>
              </w:rPr>
              <w:t>超市等用地，以及老年人日间照料中心（托老所）等社区养老服务</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设施用地，不包括中小学、幼儿园用地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农村宅基地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指农村村民用于建造住宅及其生活附属设施的土地，包括住房、附</w:t>
            </w:r>
            <w:r>
              <w:rPr>
                <w:rFonts w:hint="eastAsia" w:ascii="仿宋" w:hAnsi="仿宋" w:eastAsia="仿宋" w:cs="仿宋"/>
                <w:color w:val="auto"/>
                <w:spacing w:val="10"/>
                <w:sz w:val="21"/>
                <w:szCs w:val="21"/>
                <w:shd w:val="clear" w:color="auto" w:fill="auto"/>
              </w:rPr>
              <w:t xml:space="preserve"> </w:t>
            </w:r>
            <w:r>
              <w:rPr>
                <w:rFonts w:hint="eastAsia" w:ascii="仿宋" w:hAnsi="仿宋" w:eastAsia="仿宋" w:cs="仿宋"/>
                <w:color w:val="auto"/>
                <w:w w:val="105"/>
                <w:sz w:val="21"/>
                <w:szCs w:val="21"/>
                <w:shd w:val="clear" w:color="auto" w:fill="auto"/>
              </w:rPr>
              <w:t>属用房等用地。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070301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一类农村宅基地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指农村用于建造独户住房的土地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070302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二类农村宅基地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指农村用于建造集中住房的土地</w:t>
            </w:r>
          </w:p>
        </w:tc>
      </w:tr>
      <w:tr>
        <w:tblPrEx>
          <w:tblCellMar>
            <w:top w:w="0" w:type="dxa"/>
            <w:left w:w="0" w:type="dxa"/>
            <w:bottom w:w="0" w:type="dxa"/>
            <w:right w:w="0" w:type="dxa"/>
          </w:tblCellMar>
        </w:tblPrEx>
        <w:trPr>
          <w:trHeight w:val="1337"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0704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农村社区服务设</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指为农村生产生活配套的社区服务设施用地，包括农村社区服务站</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sz w:val="21"/>
                <w:szCs w:val="21"/>
                <w:shd w:val="clear" w:color="auto" w:fill="auto"/>
              </w:rPr>
              <w:t>以及村委会、供销社、兽医站、农机站、托儿所、文化活动室、小型体育活动场地、综合礼堂、农村商店及小型超市、农村卫生服务</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站、村邮站、宗祠等用地，不包括中小学、幼儿园用地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08</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公</w:t>
            </w:r>
            <w:r>
              <w:rPr>
                <w:rFonts w:hint="eastAsia" w:ascii="仿宋" w:hAnsi="仿宋" w:eastAsia="仿宋" w:cs="仿宋"/>
                <w:b/>
                <w:bCs/>
                <w:color w:val="auto"/>
                <w:spacing w:val="-30"/>
                <w:w w:val="105"/>
                <w:sz w:val="21"/>
                <w:szCs w:val="21"/>
                <w:shd w:val="clear" w:color="auto" w:fill="auto"/>
              </w:rPr>
              <w:t xml:space="preserve"> </w:t>
            </w:r>
            <w:r>
              <w:rPr>
                <w:rFonts w:hint="eastAsia" w:ascii="仿宋" w:hAnsi="仿宋" w:eastAsia="仿宋" w:cs="仿宋"/>
                <w:b/>
                <w:bCs/>
                <w:color w:val="auto"/>
                <w:spacing w:val="10"/>
                <w:w w:val="105"/>
                <w:sz w:val="21"/>
                <w:szCs w:val="21"/>
                <w:shd w:val="clear" w:color="auto" w:fill="auto"/>
              </w:rPr>
              <w:t>共管理与</w:t>
            </w:r>
            <w:r>
              <w:rPr>
                <w:rFonts w:hint="eastAsia" w:ascii="仿宋" w:hAnsi="仿宋" w:eastAsia="仿宋" w:cs="仿宋"/>
                <w:b/>
                <w:bCs/>
                <w:color w:val="auto"/>
                <w:spacing w:val="7"/>
                <w:w w:val="105"/>
                <w:sz w:val="21"/>
                <w:szCs w:val="21"/>
                <w:shd w:val="clear" w:color="auto" w:fill="auto"/>
              </w:rPr>
              <w:t>公共</w:t>
            </w:r>
            <w:r>
              <w:rPr>
                <w:rFonts w:hint="eastAsia" w:ascii="仿宋" w:hAnsi="仿宋" w:eastAsia="仿宋" w:cs="仿宋"/>
                <w:b/>
                <w:bCs/>
                <w:color w:val="auto"/>
                <w:w w:val="105"/>
                <w:sz w:val="21"/>
                <w:szCs w:val="21"/>
                <w:shd w:val="clear" w:color="auto" w:fill="auto"/>
              </w:rPr>
              <w:t>服</w:t>
            </w:r>
            <w:r>
              <w:rPr>
                <w:rFonts w:hint="eastAsia" w:ascii="仿宋" w:hAnsi="仿宋" w:eastAsia="仿宋" w:cs="仿宋"/>
                <w:b/>
                <w:bCs/>
                <w:color w:val="auto"/>
                <w:spacing w:val="-36"/>
                <w:w w:val="105"/>
                <w:sz w:val="21"/>
                <w:szCs w:val="21"/>
                <w:shd w:val="clear" w:color="auto" w:fill="auto"/>
              </w:rPr>
              <w:t xml:space="preserve"> </w:t>
            </w:r>
            <w:r>
              <w:rPr>
                <w:rFonts w:hint="eastAsia" w:ascii="仿宋" w:hAnsi="仿宋" w:eastAsia="仿宋" w:cs="仿宋"/>
                <w:b/>
                <w:bCs/>
                <w:color w:val="auto"/>
                <w:spacing w:val="9"/>
                <w:w w:val="105"/>
                <w:sz w:val="21"/>
                <w:szCs w:val="21"/>
                <w:shd w:val="clear" w:color="auto" w:fill="auto"/>
              </w:rPr>
              <w:t>务用地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指机关团体、科研、文化、教育、体育、卫生、社会福利等机构和</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sz w:val="21"/>
                <w:szCs w:val="21"/>
                <w:shd w:val="clear" w:color="auto" w:fill="auto"/>
              </w:rPr>
              <w:t>设施的用地，不包括农村社区服务设施用地和城镇社区服务设施用</w:t>
            </w:r>
            <w:r>
              <w:rPr>
                <w:rFonts w:hint="eastAsia" w:ascii="仿宋" w:hAnsi="仿宋" w:eastAsia="仿宋" w:cs="仿宋"/>
                <w:color w:val="auto"/>
                <w:w w:val="105"/>
                <w:sz w:val="21"/>
                <w:szCs w:val="21"/>
                <w:shd w:val="clear" w:color="auto" w:fill="auto"/>
              </w:rPr>
              <w:t>地</w:t>
            </w:r>
          </w:p>
        </w:tc>
      </w:tr>
      <w:tr>
        <w:tblPrEx>
          <w:tblCellMar>
            <w:top w:w="0" w:type="dxa"/>
            <w:left w:w="0" w:type="dxa"/>
            <w:bottom w:w="0" w:type="dxa"/>
            <w:right w:w="0" w:type="dxa"/>
          </w:tblCellMar>
        </w:tblPrEx>
        <w:trPr>
          <w:trHeight w:val="66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机关团体用地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指党政机关、人民团体及其相关直属机构、派出机构和直属事业单</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w w:val="105"/>
                <w:sz w:val="21"/>
                <w:szCs w:val="21"/>
                <w:shd w:val="clear" w:color="auto" w:fill="auto"/>
              </w:rPr>
              <w:t>位的办公及附属设施用地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科研用地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指科研机构及其科研设施用地</w:t>
            </w:r>
          </w:p>
        </w:tc>
      </w:tr>
      <w:tr>
        <w:tblPrEx>
          <w:tblCellMar>
            <w:top w:w="0" w:type="dxa"/>
            <w:left w:w="0" w:type="dxa"/>
            <w:bottom w:w="0" w:type="dxa"/>
            <w:right w:w="0" w:type="dxa"/>
          </w:tblCellMar>
        </w:tblPrEx>
        <w:trPr>
          <w:trHeight w:val="34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文化用地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指图书、展览等公共文化活动设施用地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080301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图书与展览用地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指公共图书馆、博物馆、科技馆、公共美术馆、纪念馆、规划建设展览馆等设施用地</w:t>
            </w:r>
          </w:p>
        </w:tc>
      </w:tr>
      <w:tr>
        <w:tblPrEx>
          <w:tblCellMar>
            <w:top w:w="0" w:type="dxa"/>
            <w:left w:w="0" w:type="dxa"/>
            <w:bottom w:w="0" w:type="dxa"/>
            <w:right w:w="0" w:type="dxa"/>
          </w:tblCellMar>
        </w:tblPrEx>
        <w:trPr>
          <w:trHeight w:val="99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080302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文化活动用地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指文化馆（群众艺术馆）、文化站、工人文化宫、青少年宫（青少</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sz w:val="21"/>
                <w:szCs w:val="21"/>
                <w:shd w:val="clear" w:color="auto" w:fill="auto"/>
              </w:rPr>
              <w:t>年活动中心）、妇女儿童活动中心（儿童活动中心）、老年活动中</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w w:val="105"/>
                <w:sz w:val="21"/>
                <w:szCs w:val="21"/>
                <w:shd w:val="clear" w:color="auto" w:fill="auto"/>
              </w:rPr>
              <w:t>心、综合文化活动中心、公共剧场等设施用地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教育用地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指高等教育、中等职业教育、中小学教育、幼儿园、特殊教育设施</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等用地，包括为学校配建的独立地段的学生生活用地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5"/>
                <w:w w:val="105"/>
                <w:sz w:val="21"/>
                <w:szCs w:val="21"/>
                <w:shd w:val="clear" w:color="auto" w:fill="auto"/>
              </w:rPr>
              <w:t>080401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高等教育用地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指大学、学院、高等职业学校、高等专科学校、成人高校等高等学</w:t>
            </w:r>
            <w:r>
              <w:rPr>
                <w:rFonts w:hint="eastAsia" w:ascii="仿宋" w:hAnsi="仿宋" w:eastAsia="仿宋" w:cs="仿宋"/>
                <w:color w:val="auto"/>
                <w:spacing w:val="9"/>
                <w:sz w:val="21"/>
                <w:szCs w:val="21"/>
                <w:shd w:val="clear" w:color="auto" w:fill="auto"/>
              </w:rPr>
              <w:t xml:space="preserve"> </w:t>
            </w:r>
            <w:r>
              <w:rPr>
                <w:rFonts w:hint="eastAsia" w:ascii="仿宋" w:hAnsi="仿宋" w:eastAsia="仿宋" w:cs="仿宋"/>
                <w:color w:val="auto"/>
                <w:w w:val="105"/>
                <w:sz w:val="21"/>
                <w:szCs w:val="21"/>
                <w:shd w:val="clear" w:color="auto" w:fill="auto"/>
              </w:rPr>
              <w:t>校用地，包括军事院校用地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080402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1"/>
                <w:w w:val="105"/>
                <w:sz w:val="21"/>
                <w:szCs w:val="21"/>
                <w:shd w:val="clear" w:color="auto" w:fill="auto"/>
              </w:rPr>
              <w:t>中等职业教</w:t>
            </w:r>
            <w:r>
              <w:rPr>
                <w:rFonts w:hint="eastAsia" w:ascii="仿宋" w:hAnsi="仿宋" w:eastAsia="仿宋" w:cs="仿宋"/>
                <w:color w:val="auto"/>
                <w:spacing w:val="-86"/>
                <w:w w:val="105"/>
                <w:sz w:val="21"/>
                <w:szCs w:val="21"/>
                <w:shd w:val="clear" w:color="auto" w:fill="auto"/>
              </w:rPr>
              <w:t xml:space="preserve"> </w:t>
            </w:r>
            <w:r>
              <w:rPr>
                <w:rFonts w:hint="eastAsia" w:ascii="仿宋" w:hAnsi="仿宋" w:eastAsia="仿宋" w:cs="仿宋"/>
                <w:color w:val="auto"/>
                <w:spacing w:val="7"/>
                <w:w w:val="105"/>
                <w:sz w:val="21"/>
                <w:szCs w:val="21"/>
                <w:shd w:val="clear" w:color="auto" w:fill="auto"/>
              </w:rPr>
              <w:t>育用</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指普通中等专业学校、成人中等专业学校、职业高中、技工学校等</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用地，不包括附属于普通中学内的职业高中用地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080403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中小学用地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指小学、初级中学、高级中学、九年一贯制学校、完全中学、十二</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sz w:val="21"/>
                <w:szCs w:val="21"/>
                <w:shd w:val="clear" w:color="auto" w:fill="auto"/>
              </w:rPr>
              <w:t>年一贯制学校用地，包括职业初中、成人中小学、附属于普通中学</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内的职业高中用地</w:t>
            </w:r>
          </w:p>
        </w:tc>
      </w:tr>
      <w:tr>
        <w:tblPrEx>
          <w:tblCellMar>
            <w:top w:w="0" w:type="dxa"/>
            <w:left w:w="0" w:type="dxa"/>
            <w:bottom w:w="0" w:type="dxa"/>
            <w:right w:w="0" w:type="dxa"/>
          </w:tblCellMar>
        </w:tblPrEx>
        <w:trPr>
          <w:trHeight w:val="39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080404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幼儿园用地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指幼儿园用地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080405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其他教育用地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指除以上之外的教育用地，包括特殊教育学校、专门学校（工读学</w:t>
            </w:r>
            <w:r>
              <w:rPr>
                <w:rFonts w:hint="eastAsia" w:ascii="仿宋" w:hAnsi="仿宋" w:eastAsia="仿宋" w:cs="仿宋"/>
                <w:color w:val="auto"/>
                <w:spacing w:val="11"/>
                <w:sz w:val="21"/>
                <w:szCs w:val="21"/>
                <w:shd w:val="clear" w:color="auto" w:fill="auto"/>
              </w:rPr>
              <w:t xml:space="preserve"> </w:t>
            </w:r>
            <w:r>
              <w:rPr>
                <w:rFonts w:hint="eastAsia" w:ascii="仿宋" w:hAnsi="仿宋" w:eastAsia="仿宋" w:cs="仿宋"/>
                <w:color w:val="auto"/>
                <w:w w:val="105"/>
                <w:sz w:val="21"/>
                <w:szCs w:val="21"/>
                <w:shd w:val="clear" w:color="auto" w:fill="auto"/>
              </w:rPr>
              <w:t>校）用地</w:t>
            </w:r>
          </w:p>
        </w:tc>
      </w:tr>
      <w:tr>
        <w:tblPrEx>
          <w:tblCellMar>
            <w:top w:w="0" w:type="dxa"/>
            <w:left w:w="0" w:type="dxa"/>
            <w:bottom w:w="0" w:type="dxa"/>
            <w:right w:w="0" w:type="dxa"/>
          </w:tblCellMar>
        </w:tblPrEx>
        <w:trPr>
          <w:trHeight w:val="86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体育用地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指体育场馆和体育训练基地等用地，不包括学校、企事业、军队等机构内部专用的体育设施用地</w:t>
            </w:r>
          </w:p>
        </w:tc>
      </w:tr>
    </w:tbl>
    <w:p>
      <w:pPr>
        <w:spacing w:after="0" w:line="240" w:lineRule="auto"/>
        <w:jc w:val="left"/>
        <w:rPr>
          <w:rFonts w:ascii="宋体" w:hAnsi="宋体" w:eastAsia="宋体" w:cs="宋体"/>
          <w:color w:val="auto"/>
          <w:sz w:val="19"/>
          <w:szCs w:val="19"/>
          <w:shd w:val="clear" w:color="auto" w:fill="auto"/>
        </w:rPr>
        <w:sectPr>
          <w:footerReference r:id="rId11" w:type="default"/>
          <w:pgSz w:w="11910" w:h="16850"/>
          <w:pgMar w:top="1360" w:right="1480" w:bottom="1160" w:left="1680" w:header="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5" w:name="国土空间调查、规划、用途管制 用地用海分类指南 2020 18"/>
            <w:bookmarkEnd w:id="65"/>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080501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体育场馆用地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指室内外体育运动用地，包括体育场馆、游泳场馆、大中型多功能</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运动场地、全民健身中心等用地</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080502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体育训练用地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指为体育运动专设的训练基地用地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医疗卫生用地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指医疗、预防、保健、护理、康复、急救、安宁疗护等用地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080601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医院用地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指综合医院、中医医院、中西医结合医院、民族医院、各类专科医</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院、护理院等用地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080602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1"/>
                <w:w w:val="105"/>
                <w:sz w:val="21"/>
                <w:szCs w:val="21"/>
                <w:shd w:val="clear" w:color="auto" w:fill="auto"/>
              </w:rPr>
              <w:t>基层医疗卫</w:t>
            </w:r>
            <w:r>
              <w:rPr>
                <w:rFonts w:hint="eastAsia" w:ascii="仿宋" w:hAnsi="仿宋" w:eastAsia="仿宋" w:cs="仿宋"/>
                <w:color w:val="auto"/>
                <w:spacing w:val="-86"/>
                <w:w w:val="105"/>
                <w:sz w:val="21"/>
                <w:szCs w:val="21"/>
                <w:shd w:val="clear" w:color="auto" w:fill="auto"/>
              </w:rPr>
              <w:t xml:space="preserve"> </w:t>
            </w:r>
            <w:r>
              <w:rPr>
                <w:rFonts w:hint="eastAsia" w:ascii="仿宋" w:hAnsi="仿宋" w:eastAsia="仿宋" w:cs="仿宋"/>
                <w:color w:val="auto"/>
                <w:spacing w:val="7"/>
                <w:w w:val="105"/>
                <w:sz w:val="21"/>
                <w:szCs w:val="21"/>
                <w:shd w:val="clear" w:color="auto" w:fill="auto"/>
              </w:rPr>
              <w:t>生设</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w w:val="105"/>
                <w:sz w:val="21"/>
                <w:szCs w:val="21"/>
                <w:shd w:val="clear" w:color="auto" w:fill="auto"/>
              </w:rPr>
              <w:t>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指社区卫生服务中心、乡镇（街道）卫生院等用地，不包括社区卫</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pacing w:val="4"/>
                <w:sz w:val="21"/>
                <w:szCs w:val="21"/>
                <w:shd w:val="clear" w:color="auto" w:fill="auto"/>
              </w:rPr>
              <w:t>生服务站、农村卫生服务站、村卫生室、门诊部、诊所（医务室）</w:t>
            </w:r>
            <w:r>
              <w:rPr>
                <w:rFonts w:hint="eastAsia" w:ascii="仿宋" w:hAnsi="仿宋" w:eastAsia="仿宋" w:cs="仿宋"/>
                <w:color w:val="auto"/>
                <w:w w:val="105"/>
                <w:sz w:val="21"/>
                <w:szCs w:val="21"/>
                <w:shd w:val="clear" w:color="auto" w:fill="auto"/>
              </w:rPr>
              <w:t>等用地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080603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公共卫生用地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指疾病预防控制中心、妇幼保健院、急救中心（站）、采供血设施</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等用地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社会福利用地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指为老年人、儿童及残疾人等提供社会福利和慈善服务的设施用地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080701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老年人社会福利</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指为老年人提供居住、康复、保健等服务的养老院、敬老院、养护</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院等机构养老设施用地</w:t>
            </w:r>
          </w:p>
        </w:tc>
      </w:tr>
      <w:tr>
        <w:tblPrEx>
          <w:tblCellMar>
            <w:top w:w="0" w:type="dxa"/>
            <w:left w:w="0" w:type="dxa"/>
            <w:bottom w:w="0" w:type="dxa"/>
            <w:right w:w="0" w:type="dxa"/>
          </w:tblCellMar>
        </w:tblPrEx>
        <w:trPr>
          <w:trHeight w:val="100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080702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儿童社会福利用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指为孤儿、农村留守儿童、困境儿童等特殊儿童群体提供居住、抚</w:t>
            </w:r>
            <w:r>
              <w:rPr>
                <w:rFonts w:hint="eastAsia" w:ascii="仿宋" w:hAnsi="仿宋" w:eastAsia="仿宋" w:cs="仿宋"/>
                <w:color w:val="auto"/>
                <w:spacing w:val="11"/>
                <w:sz w:val="21"/>
                <w:szCs w:val="21"/>
                <w:shd w:val="clear" w:color="auto" w:fill="auto"/>
              </w:rPr>
              <w:t xml:space="preserve"> </w:t>
            </w:r>
            <w:r>
              <w:rPr>
                <w:rFonts w:hint="eastAsia" w:ascii="仿宋" w:hAnsi="仿宋" w:eastAsia="仿宋" w:cs="仿宋"/>
                <w:color w:val="auto"/>
                <w:sz w:val="21"/>
                <w:szCs w:val="21"/>
                <w:shd w:val="clear" w:color="auto" w:fill="auto"/>
              </w:rPr>
              <w:t>养、照护等服务的儿童福利院、孤儿院、未成年人救助保护中心等</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w w:val="105"/>
                <w:sz w:val="21"/>
                <w:szCs w:val="21"/>
                <w:shd w:val="clear" w:color="auto" w:fill="auto"/>
              </w:rPr>
              <w:t>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080703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残疾人社会福利</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指为残疾人提供居住、康复、护养等服务的残疾人福利院、残疾人康复中心、残疾人综合服务中心等设施用地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080704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其他社会福利用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指除以上之外的社会福利设施用地，包括救助管理站等设施用地</w:t>
            </w:r>
          </w:p>
        </w:tc>
      </w:tr>
      <w:tr>
        <w:tblPrEx>
          <w:tblCellMar>
            <w:top w:w="0" w:type="dxa"/>
            <w:left w:w="0" w:type="dxa"/>
            <w:bottom w:w="0" w:type="dxa"/>
            <w:right w:w="0" w:type="dxa"/>
          </w:tblCellMar>
        </w:tblPrEx>
        <w:trPr>
          <w:trHeight w:val="859"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09</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z w:val="21"/>
                <w:szCs w:val="21"/>
                <w:shd w:val="clear" w:color="auto" w:fill="auto"/>
              </w:rPr>
              <w:t>商</w:t>
            </w:r>
            <w:r>
              <w:rPr>
                <w:rFonts w:hint="eastAsia" w:ascii="仿宋" w:hAnsi="仿宋" w:eastAsia="仿宋" w:cs="仿宋"/>
                <w:b/>
                <w:bCs/>
                <w:color w:val="auto"/>
                <w:spacing w:val="7"/>
                <w:sz w:val="21"/>
                <w:szCs w:val="21"/>
                <w:shd w:val="clear" w:color="auto" w:fill="auto"/>
              </w:rPr>
              <w:t>业服务业用地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指商业、商务金融以及娱乐康体等设施用地，不包括农村社区服务设施用地和城镇社区服务设施用地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商业用地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指零售商业、批发市场及餐饮、旅馆及公用设施营业网点等服务业</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用地</w:t>
            </w:r>
          </w:p>
        </w:tc>
      </w:tr>
      <w:tr>
        <w:tblPrEx>
          <w:tblCellMar>
            <w:top w:w="0" w:type="dxa"/>
            <w:left w:w="0" w:type="dxa"/>
            <w:bottom w:w="0" w:type="dxa"/>
            <w:right w:w="0" w:type="dxa"/>
          </w:tblCellMar>
        </w:tblPrEx>
        <w:trPr>
          <w:trHeight w:val="54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零售商业用地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指商铺、商场、超市、服装及小商品市场等用地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批发市场用地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指以批发功能为主的市场用地</w:t>
            </w:r>
          </w:p>
        </w:tc>
      </w:tr>
      <w:tr>
        <w:tblPrEx>
          <w:tblCellMar>
            <w:top w:w="0" w:type="dxa"/>
            <w:left w:w="0" w:type="dxa"/>
            <w:bottom w:w="0" w:type="dxa"/>
            <w:right w:w="0" w:type="dxa"/>
          </w:tblCellMar>
        </w:tblPrEx>
        <w:trPr>
          <w:trHeight w:val="54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090103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餐饮用地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指饭店、餐厅、酒吧等用地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090104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旅馆用地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指宾馆、旅馆、招待所、服务型公寓、有住宿功能的度假村等用地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090105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公用设施营业网</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点用地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指零售加油、加气、充换电站、电信、邮政、供水、燃气、供电、</w:t>
            </w:r>
            <w:r>
              <w:rPr>
                <w:rFonts w:hint="eastAsia" w:ascii="仿宋" w:hAnsi="仿宋" w:eastAsia="仿宋" w:cs="仿宋"/>
                <w:color w:val="auto"/>
                <w:spacing w:val="65"/>
                <w:sz w:val="21"/>
                <w:szCs w:val="21"/>
                <w:shd w:val="clear" w:color="auto" w:fill="auto"/>
              </w:rPr>
              <w:t xml:space="preserve"> </w:t>
            </w:r>
            <w:r>
              <w:rPr>
                <w:rFonts w:hint="eastAsia" w:ascii="仿宋" w:hAnsi="仿宋" w:eastAsia="仿宋" w:cs="仿宋"/>
                <w:color w:val="auto"/>
                <w:w w:val="105"/>
                <w:sz w:val="21"/>
                <w:szCs w:val="21"/>
                <w:shd w:val="clear" w:color="auto" w:fill="auto"/>
              </w:rPr>
              <w:t>供热等公用设施营业网点用地</w:t>
            </w:r>
          </w:p>
        </w:tc>
      </w:tr>
      <w:tr>
        <w:tblPrEx>
          <w:tblCellMar>
            <w:top w:w="0" w:type="dxa"/>
            <w:left w:w="0" w:type="dxa"/>
            <w:bottom w:w="0" w:type="dxa"/>
            <w:right w:w="0" w:type="dxa"/>
          </w:tblCellMar>
        </w:tblPrEx>
        <w:trPr>
          <w:trHeight w:val="66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商务金融用地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指金融保险、艺术传媒、研发设计、技术服务、物流管理中心等综</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合性办公用地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娱乐康体用地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指各类娱乐、康体等设施用地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090301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娱乐用地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3"/>
                <w:sz w:val="21"/>
                <w:szCs w:val="21"/>
                <w:shd w:val="clear" w:color="auto" w:fill="auto"/>
              </w:rPr>
              <w:t>指剧院、音乐厅、电影院、歌舞厅、网吧以及绿地率小于 65%的大</w:t>
            </w:r>
            <w:r>
              <w:rPr>
                <w:rFonts w:hint="eastAsia" w:ascii="仿宋" w:hAnsi="仿宋" w:eastAsia="仿宋" w:cs="仿宋"/>
                <w:color w:val="auto"/>
                <w:spacing w:val="27"/>
                <w:sz w:val="21"/>
                <w:szCs w:val="21"/>
                <w:shd w:val="clear" w:color="auto" w:fill="auto"/>
              </w:rPr>
              <w:t xml:space="preserve"> </w:t>
            </w:r>
            <w:r>
              <w:rPr>
                <w:rFonts w:hint="eastAsia" w:ascii="仿宋" w:hAnsi="仿宋" w:eastAsia="仿宋" w:cs="仿宋"/>
                <w:color w:val="auto"/>
                <w:w w:val="105"/>
                <w:sz w:val="21"/>
                <w:szCs w:val="21"/>
                <w:shd w:val="clear" w:color="auto" w:fill="auto"/>
              </w:rPr>
              <w:t>型游乐等设施用地</w:t>
            </w:r>
          </w:p>
        </w:tc>
      </w:tr>
    </w:tbl>
    <w:p>
      <w:pPr>
        <w:spacing w:after="0" w:line="319" w:lineRule="auto"/>
        <w:jc w:val="left"/>
        <w:rPr>
          <w:rFonts w:ascii="宋体" w:hAnsi="宋体" w:eastAsia="宋体" w:cs="宋体"/>
          <w:color w:val="auto"/>
          <w:sz w:val="19"/>
          <w:szCs w:val="19"/>
          <w:shd w:val="clear" w:color="auto" w:fill="auto"/>
        </w:rPr>
        <w:sectPr>
          <w:footerReference r:id="rId12" w:type="default"/>
          <w:pgSz w:w="11910" w:h="16850"/>
          <w:pgMar w:top="1360" w:right="1480" w:bottom="1160" w:left="1680" w:header="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6" w:name="国土空间调查、规划、用途管制 用地用海分类指南 2020 19"/>
            <w:bookmarkEnd w:id="66"/>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090302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康体用地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指高尔夫练习场、赛马场、溜冰场、跳伞场、摩托车场、射击场，</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w w:val="105"/>
                <w:sz w:val="21"/>
                <w:szCs w:val="21"/>
                <w:shd w:val="clear" w:color="auto" w:fill="auto"/>
              </w:rPr>
              <w:t>以及水上运动的陆域部分等用地</w:t>
            </w:r>
          </w:p>
        </w:tc>
      </w:tr>
      <w:tr>
        <w:tblPrEx>
          <w:tblCellMar>
            <w:top w:w="0" w:type="dxa"/>
            <w:left w:w="0" w:type="dxa"/>
            <w:bottom w:w="0" w:type="dxa"/>
            <w:right w:w="0" w:type="dxa"/>
          </w:tblCellMar>
        </w:tblPrEx>
        <w:trPr>
          <w:trHeight w:val="132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0904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1"/>
                <w:w w:val="105"/>
                <w:sz w:val="21"/>
                <w:szCs w:val="21"/>
                <w:shd w:val="clear" w:color="auto" w:fill="auto"/>
              </w:rPr>
              <w:t>其他商业服</w:t>
            </w:r>
            <w:r>
              <w:rPr>
                <w:rFonts w:hint="eastAsia" w:ascii="仿宋" w:hAnsi="仿宋" w:eastAsia="仿宋" w:cs="仿宋"/>
                <w:color w:val="auto"/>
                <w:spacing w:val="-86"/>
                <w:w w:val="105"/>
                <w:sz w:val="21"/>
                <w:szCs w:val="21"/>
                <w:shd w:val="clear" w:color="auto" w:fill="auto"/>
              </w:rPr>
              <w:t xml:space="preserve"> </w:t>
            </w:r>
            <w:r>
              <w:rPr>
                <w:rFonts w:hint="eastAsia" w:ascii="仿宋" w:hAnsi="仿宋" w:eastAsia="仿宋" w:cs="仿宋"/>
                <w:color w:val="auto"/>
                <w:spacing w:val="7"/>
                <w:w w:val="105"/>
                <w:sz w:val="21"/>
                <w:szCs w:val="21"/>
                <w:shd w:val="clear" w:color="auto" w:fill="auto"/>
              </w:rPr>
              <w:t>务业</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w w:val="105"/>
                <w:sz w:val="21"/>
                <w:szCs w:val="21"/>
                <w:shd w:val="clear" w:color="auto" w:fill="auto"/>
              </w:rPr>
              <w:t>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指除以上之外的商业服务业用地，包括以观光娱乐为目的的直升机</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spacing w:val="4"/>
                <w:sz w:val="21"/>
                <w:szCs w:val="21"/>
                <w:shd w:val="clear" w:color="auto" w:fill="auto"/>
              </w:rPr>
              <w:t>停机坪等通用航空、汽车维修站以及宠物医院、洗车场、洗染店、</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sz w:val="21"/>
                <w:szCs w:val="21"/>
                <w:shd w:val="clear" w:color="auto" w:fill="auto"/>
              </w:rPr>
              <w:t>照相馆、理发美容店、洗浴场所、废旧物资回收站、机动车、电子</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产品和日用产品修理网点、物流营业网点等用地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10</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工</w:t>
            </w:r>
            <w:r>
              <w:rPr>
                <w:rFonts w:hint="eastAsia" w:ascii="仿宋" w:hAnsi="仿宋" w:eastAsia="仿宋" w:cs="仿宋"/>
                <w:b/>
                <w:bCs/>
                <w:color w:val="auto"/>
                <w:spacing w:val="-36"/>
                <w:w w:val="105"/>
                <w:sz w:val="21"/>
                <w:szCs w:val="21"/>
                <w:shd w:val="clear" w:color="auto" w:fill="auto"/>
              </w:rPr>
              <w:t xml:space="preserve"> </w:t>
            </w:r>
            <w:r>
              <w:rPr>
                <w:rFonts w:hint="eastAsia" w:ascii="仿宋" w:hAnsi="仿宋" w:eastAsia="仿宋" w:cs="仿宋"/>
                <w:b/>
                <w:bCs/>
                <w:color w:val="auto"/>
                <w:spacing w:val="9"/>
                <w:w w:val="105"/>
                <w:sz w:val="21"/>
                <w:szCs w:val="21"/>
                <w:shd w:val="clear" w:color="auto" w:fill="auto"/>
              </w:rPr>
              <w:t>矿用地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指用于工矿业生产的土地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1001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工业用地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指工矿企业的生产车间、装备修理、自用库房及其附属设施用地，</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sz w:val="21"/>
                <w:szCs w:val="21"/>
                <w:shd w:val="clear" w:color="auto" w:fill="auto"/>
              </w:rPr>
              <w:t>包括专用铁路、码头和附属道路、停车场等用地，不包括采矿用地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100101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一类工业用地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指对居住和公共环境基本无干扰、污染和安全隐患，布局无特殊控</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制要求的工业用地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100102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二类工业用地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指对居住和公共环境有一定干扰、污染和安全隐患，不可布局于居</w:t>
            </w:r>
            <w:r>
              <w:rPr>
                <w:rFonts w:hint="eastAsia" w:ascii="仿宋" w:hAnsi="仿宋" w:eastAsia="仿宋" w:cs="仿宋"/>
                <w:color w:val="auto"/>
                <w:spacing w:val="15"/>
                <w:sz w:val="21"/>
                <w:szCs w:val="21"/>
                <w:shd w:val="clear" w:color="auto" w:fill="auto"/>
              </w:rPr>
              <w:t xml:space="preserve"> </w:t>
            </w:r>
            <w:r>
              <w:rPr>
                <w:rFonts w:hint="eastAsia" w:ascii="仿宋" w:hAnsi="仿宋" w:eastAsia="仿宋" w:cs="仿宋"/>
                <w:color w:val="auto"/>
                <w:w w:val="105"/>
                <w:sz w:val="21"/>
                <w:szCs w:val="21"/>
                <w:shd w:val="clear" w:color="auto" w:fill="auto"/>
              </w:rPr>
              <w:t>住区和公共设施集中区内的工业用地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100103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三类工业用地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指对居住和公共环境有严重干扰、污染和安全隐患，布局有防护、</w:t>
            </w:r>
            <w:r>
              <w:rPr>
                <w:rFonts w:hint="eastAsia" w:ascii="仿宋" w:hAnsi="仿宋" w:eastAsia="仿宋" w:cs="仿宋"/>
                <w:color w:val="auto"/>
                <w:w w:val="105"/>
                <w:sz w:val="21"/>
                <w:szCs w:val="21"/>
                <w:shd w:val="clear" w:color="auto" w:fill="auto"/>
              </w:rPr>
              <w:t>隔离要求的工业用地</w:t>
            </w:r>
          </w:p>
        </w:tc>
      </w:tr>
      <w:tr>
        <w:tblPrEx>
          <w:tblCellMar>
            <w:top w:w="0" w:type="dxa"/>
            <w:left w:w="0" w:type="dxa"/>
            <w:bottom w:w="0" w:type="dxa"/>
            <w:right w:w="0" w:type="dxa"/>
          </w:tblCellMar>
        </w:tblPrEx>
        <w:trPr>
          <w:trHeight w:val="66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1002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采矿用地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8"/>
                <w:sz w:val="21"/>
                <w:szCs w:val="21"/>
                <w:shd w:val="clear" w:color="auto" w:fill="auto"/>
              </w:rPr>
              <w:t>指采矿、采石、采砂（沙）场，砖瓦窑等地面生产用地及排土（石）、</w:t>
            </w:r>
            <w:r>
              <w:rPr>
                <w:rFonts w:hint="eastAsia" w:ascii="仿宋" w:hAnsi="仿宋" w:eastAsia="仿宋" w:cs="仿宋"/>
                <w:color w:val="auto"/>
                <w:spacing w:val="78"/>
                <w:sz w:val="21"/>
                <w:szCs w:val="21"/>
                <w:shd w:val="clear" w:color="auto" w:fill="auto"/>
              </w:rPr>
              <w:t xml:space="preserve"> </w:t>
            </w:r>
            <w:r>
              <w:rPr>
                <w:rFonts w:hint="eastAsia" w:ascii="仿宋" w:hAnsi="仿宋" w:eastAsia="仿宋" w:cs="仿宋"/>
                <w:color w:val="auto"/>
                <w:w w:val="105"/>
                <w:sz w:val="21"/>
                <w:szCs w:val="21"/>
                <w:shd w:val="clear" w:color="auto" w:fill="auto"/>
              </w:rPr>
              <w:t>尾矿堆放用地</w:t>
            </w:r>
          </w:p>
        </w:tc>
      </w:tr>
      <w:tr>
        <w:tblPrEx>
          <w:tblCellMar>
            <w:top w:w="0" w:type="dxa"/>
            <w:left w:w="0" w:type="dxa"/>
            <w:bottom w:w="0" w:type="dxa"/>
            <w:right w:w="0" w:type="dxa"/>
          </w:tblCellMar>
        </w:tblPrEx>
        <w:trPr>
          <w:trHeight w:val="54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1003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盐田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指用于盐业生产的用地，包括晒盐场所、盐池及附属设施用地</w:t>
            </w:r>
          </w:p>
        </w:tc>
      </w:tr>
      <w:tr>
        <w:tblPrEx>
          <w:tblCellMar>
            <w:top w:w="0" w:type="dxa"/>
            <w:left w:w="0" w:type="dxa"/>
            <w:bottom w:w="0" w:type="dxa"/>
            <w:right w:w="0" w:type="dxa"/>
          </w:tblCellMar>
        </w:tblPrEx>
        <w:trPr>
          <w:trHeight w:val="54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仓</w:t>
            </w:r>
            <w:r>
              <w:rPr>
                <w:rFonts w:hint="eastAsia" w:ascii="仿宋" w:hAnsi="仿宋" w:eastAsia="仿宋" w:cs="仿宋"/>
                <w:b/>
                <w:bCs/>
                <w:color w:val="auto"/>
                <w:spacing w:val="9"/>
                <w:w w:val="105"/>
                <w:sz w:val="21"/>
                <w:szCs w:val="21"/>
                <w:shd w:val="clear" w:color="auto" w:fill="auto"/>
              </w:rPr>
              <w:t>储用地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指物流仓储和战略性物资储备库用地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物流仓储用地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
                <w:sz w:val="21"/>
                <w:szCs w:val="21"/>
                <w:shd w:val="clear" w:color="auto" w:fill="auto"/>
              </w:rPr>
              <w:t>指国家和省级战略性储备库以外，城、镇、村用于物资存储、中转、</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w w:val="105"/>
                <w:sz w:val="21"/>
                <w:szCs w:val="21"/>
                <w:shd w:val="clear" w:color="auto" w:fill="auto"/>
              </w:rPr>
              <w:t>配送等设施用地，包括附属设施、道路、停车场等用地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110101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一类物流仓储用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指对居住和公共环境基本无干扰、污染和安全隐患，布局无特殊控</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制要求的物流仓储用地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110102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二类物流仓储用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指对居住和公共环境有一定干扰、污染和安全隐患，不可布局于居</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住区和公共设施集中区内的物流仓储用地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110103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三类物流仓储用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指用于存放易燃、易爆和剧毒等危险品，布局有防护、隔离要求的</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物流仓储用地</w:t>
            </w:r>
          </w:p>
        </w:tc>
      </w:tr>
      <w:tr>
        <w:tblPrEx>
          <w:tblCellMar>
            <w:top w:w="0" w:type="dxa"/>
            <w:left w:w="0" w:type="dxa"/>
            <w:bottom w:w="0" w:type="dxa"/>
            <w:right w:w="0" w:type="dxa"/>
          </w:tblCellMar>
        </w:tblPrEx>
        <w:trPr>
          <w:trHeight w:val="54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1102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储备库用地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指国家和省级的粮食、棉花、石油等战略性储备库用地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z w:val="21"/>
                <w:szCs w:val="21"/>
                <w:shd w:val="clear" w:color="auto" w:fill="auto"/>
              </w:rPr>
              <w:t>交</w:t>
            </w:r>
            <w:r>
              <w:rPr>
                <w:rFonts w:hint="eastAsia" w:ascii="仿宋" w:hAnsi="仿宋" w:eastAsia="仿宋" w:cs="仿宋"/>
                <w:b/>
                <w:bCs/>
                <w:color w:val="auto"/>
                <w:spacing w:val="8"/>
                <w:sz w:val="21"/>
                <w:szCs w:val="21"/>
                <w:shd w:val="clear" w:color="auto" w:fill="auto"/>
              </w:rPr>
              <w:t>通运输用地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指铁路、公路、机场、港口码头、管道运输、城市轨道交通、各种</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z w:val="21"/>
                <w:szCs w:val="21"/>
                <w:shd w:val="clear" w:color="auto" w:fill="auto"/>
              </w:rPr>
              <w:t>道路以及交通场站等交通运输设施及其附属设施用地，不包括其他</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用地内的附属道路、停车场等用地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铁路用地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指铁路编组站、轨道线路（含城际轨道）等用地，不包括铁路客货</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运站等交通场站用地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公路用地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指国道、省道、县道和乡道用地及附属设施用地，不包括已纳入城</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z w:val="21"/>
                <w:szCs w:val="21"/>
                <w:shd w:val="clear" w:color="auto" w:fill="auto"/>
              </w:rPr>
              <w:t>镇集中连片建成区，发挥城镇内部道路功能的路段，以及公路长途</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客货运站等交通场站用地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机场用地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指民用及军民合用的机场用地，包括飞行区、航站区等用地，不包</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括净空控制范围内的其他用地</w:t>
            </w:r>
          </w:p>
        </w:tc>
      </w:tr>
    </w:tbl>
    <w:p>
      <w:pPr>
        <w:spacing w:after="0" w:line="319" w:lineRule="auto"/>
        <w:jc w:val="left"/>
        <w:rPr>
          <w:rFonts w:ascii="宋体" w:hAnsi="宋体" w:eastAsia="宋体" w:cs="宋体"/>
          <w:color w:val="auto"/>
          <w:sz w:val="19"/>
          <w:szCs w:val="19"/>
          <w:shd w:val="clear" w:color="auto" w:fill="auto"/>
        </w:rPr>
        <w:sectPr>
          <w:pgSz w:w="11910" w:h="16850"/>
          <w:pgMar w:top="1360" w:right="1480" w:bottom="1160" w:left="1680" w:header="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7" w:name="国土空间调查、规划、用途管制 用地用海分类指南 2020 20"/>
            <w:bookmarkEnd w:id="67"/>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港口码头用地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指海港和河港的陆域部分，包括用于堆场、货运码头及其他港口设</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施的用地，不包括港口客运码头等交通场站用地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管道运输用地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指运输矿石、石油和天然气等地面管道运输用地，地下管道运输规</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w w:val="105"/>
                <w:sz w:val="21"/>
                <w:szCs w:val="21"/>
                <w:shd w:val="clear" w:color="auto" w:fill="auto"/>
              </w:rPr>
              <w:t>定的地面控制范围内的用地应按其地面实际用途归类</w:t>
            </w:r>
          </w:p>
        </w:tc>
      </w:tr>
      <w:tr>
        <w:tblPrEx>
          <w:tblCellMar>
            <w:top w:w="0" w:type="dxa"/>
            <w:left w:w="0" w:type="dxa"/>
            <w:bottom w:w="0" w:type="dxa"/>
            <w:right w:w="0" w:type="dxa"/>
          </w:tblCellMar>
        </w:tblPrEx>
        <w:trPr>
          <w:trHeight w:val="54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城市轨道交通用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指独立占地的城市轨道交通地面以上部分的线路、站点用地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城镇道路用地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指快速路、主干路、次干路、支路、专用人行道和非机动车道等用</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地，包括其交叉口用地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w w:val="105"/>
                <w:sz w:val="21"/>
                <w:szCs w:val="21"/>
                <w:shd w:val="clear" w:color="auto" w:fill="auto"/>
              </w:rPr>
              <w:t>1208</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交通场站用地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指交通服务设施用地，不包括交通指挥中心、交通队等行政办公设</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120801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对外交通场站用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指铁路客货运站、公路长途客运站、港口客运码头及其附属设施用</w:t>
            </w:r>
            <w:r>
              <w:rPr>
                <w:rFonts w:hint="eastAsia" w:ascii="仿宋" w:hAnsi="仿宋" w:eastAsia="仿宋" w:cs="仿宋"/>
                <w:color w:val="auto"/>
                <w:w w:val="102"/>
                <w:sz w:val="21"/>
                <w:szCs w:val="21"/>
                <w:shd w:val="clear" w:color="auto" w:fill="auto"/>
              </w:rPr>
              <w:t>地</w:t>
            </w:r>
          </w:p>
        </w:tc>
      </w:tr>
      <w:tr>
        <w:tblPrEx>
          <w:tblCellMar>
            <w:top w:w="0" w:type="dxa"/>
            <w:left w:w="0" w:type="dxa"/>
            <w:bottom w:w="0" w:type="dxa"/>
            <w:right w:w="0" w:type="dxa"/>
          </w:tblCellMar>
        </w:tblPrEx>
        <w:trPr>
          <w:trHeight w:val="99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120802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公共交通场站用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指城市轨道交通车辆基地及附属设施，公共汽（电）车首末站、停</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spacing w:val="-1"/>
                <w:sz w:val="21"/>
                <w:szCs w:val="21"/>
                <w:shd w:val="clear" w:color="auto" w:fill="auto"/>
              </w:rPr>
              <w:t>车场（库）、保养场，出租汽车场站设施等用地，以及轮渡、缆车、</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w w:val="105"/>
                <w:sz w:val="21"/>
                <w:szCs w:val="21"/>
                <w:shd w:val="clear" w:color="auto" w:fill="auto"/>
              </w:rPr>
              <w:t>索道等的地面部分及其附属设施用地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120803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社会停车场用地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指独立占地的公共停车场和停车库用地（含设有充电桩的社会停车</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场），不包括其他建设用地配建的停车场和停车库用地</w:t>
            </w:r>
          </w:p>
        </w:tc>
      </w:tr>
      <w:tr>
        <w:tblPrEx>
          <w:tblCellMar>
            <w:top w:w="0" w:type="dxa"/>
            <w:left w:w="0" w:type="dxa"/>
            <w:bottom w:w="0" w:type="dxa"/>
            <w:right w:w="0" w:type="dxa"/>
          </w:tblCellMar>
        </w:tblPrEx>
        <w:trPr>
          <w:trHeight w:val="54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1209</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其他交通设施用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指除以上之外的交通设施用地，包括教练场等用地</w:t>
            </w:r>
          </w:p>
        </w:tc>
      </w:tr>
      <w:tr>
        <w:tblPrEx>
          <w:tblCellMar>
            <w:top w:w="0" w:type="dxa"/>
            <w:left w:w="0" w:type="dxa"/>
            <w:bottom w:w="0" w:type="dxa"/>
            <w:right w:w="0" w:type="dxa"/>
          </w:tblCellMar>
        </w:tblPrEx>
        <w:trPr>
          <w:trHeight w:val="8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z w:val="21"/>
                <w:szCs w:val="21"/>
                <w:shd w:val="clear" w:color="auto" w:fill="auto"/>
              </w:rPr>
              <w:t>公</w:t>
            </w:r>
            <w:r>
              <w:rPr>
                <w:rFonts w:hint="eastAsia" w:ascii="仿宋" w:hAnsi="仿宋" w:eastAsia="仿宋" w:cs="仿宋"/>
                <w:b/>
                <w:bCs/>
                <w:color w:val="auto"/>
                <w:spacing w:val="8"/>
                <w:sz w:val="21"/>
                <w:szCs w:val="21"/>
                <w:shd w:val="clear" w:color="auto" w:fill="auto"/>
              </w:rPr>
              <w:t>用设施用地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指用于城乡和区域基础设施的供水、排水、供电、供燃气、供热、</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spacing w:val="2"/>
                <w:w w:val="105"/>
                <w:sz w:val="21"/>
                <w:szCs w:val="21"/>
                <w:shd w:val="clear" w:color="auto" w:fill="auto"/>
              </w:rPr>
              <w:t>通信、邮政、广播电视、环卫、消防、干渠、水工等设施用地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供水用地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指取水设施、供水厂、再生水厂、加压泵站、高位水池等设施用地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排水用地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指雨水泵站、污水泵站、污水处理、污泥处理厂等设施及其附属的</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构筑物用地，不包括排水河渠用地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供电用地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指变电站、开关站、环网柜等设施用地，不包括电厂等工业用地。</w:t>
            </w:r>
            <w:r>
              <w:rPr>
                <w:rFonts w:hint="eastAsia" w:ascii="仿宋" w:hAnsi="仿宋" w:eastAsia="仿宋" w:cs="仿宋"/>
                <w:color w:val="auto"/>
                <w:spacing w:val="68"/>
                <w:sz w:val="21"/>
                <w:szCs w:val="21"/>
                <w:shd w:val="clear" w:color="auto" w:fill="auto"/>
              </w:rPr>
              <w:t xml:space="preserve"> </w:t>
            </w:r>
            <w:r>
              <w:rPr>
                <w:rFonts w:hint="eastAsia" w:ascii="仿宋" w:hAnsi="仿宋" w:eastAsia="仿宋" w:cs="仿宋"/>
                <w:color w:val="auto"/>
                <w:spacing w:val="2"/>
                <w:w w:val="105"/>
                <w:sz w:val="21"/>
                <w:szCs w:val="21"/>
                <w:shd w:val="clear" w:color="auto" w:fill="auto"/>
              </w:rPr>
              <w:t>高压走廊下规定的控制范围内的用地应按其地面实际用途归类</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供燃气用地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指分输站、调压站、门站、供气站、储配站、气化站、灌瓶站和地</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面输气管廊等设施用地，不包括制气厂等工业用地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供热用地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指集中供热厂、换热站、区域能源站、分布式能源站和地面输热管</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廊等设施用地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通信用地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指通信铁塔、基站、卫星地球站、海缆登陆站、电信局、微波站、</w:t>
            </w:r>
            <w:r>
              <w:rPr>
                <w:rFonts w:hint="eastAsia" w:ascii="仿宋" w:hAnsi="仿宋" w:eastAsia="仿宋" w:cs="仿宋"/>
                <w:color w:val="auto"/>
                <w:w w:val="105"/>
                <w:sz w:val="21"/>
                <w:szCs w:val="21"/>
                <w:shd w:val="clear" w:color="auto" w:fill="auto"/>
              </w:rPr>
              <w:t>中继站等设施用地</w:t>
            </w:r>
          </w:p>
        </w:tc>
      </w:tr>
      <w:tr>
        <w:tblPrEx>
          <w:tblCellMar>
            <w:top w:w="0" w:type="dxa"/>
            <w:left w:w="0" w:type="dxa"/>
            <w:bottom w:w="0" w:type="dxa"/>
            <w:right w:w="0" w:type="dxa"/>
          </w:tblCellMar>
        </w:tblPrEx>
        <w:trPr>
          <w:trHeight w:val="32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邮政用地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指邮政中心局、邮政支局（所）、邮件处理中心等设施用地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1308</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广播电视设施用</w:t>
            </w:r>
            <w:r>
              <w:rPr>
                <w:rFonts w:hint="eastAsia" w:ascii="仿宋" w:hAnsi="仿宋" w:eastAsia="仿宋" w:cs="仿宋"/>
                <w:color w:val="auto"/>
                <w:spacing w:val="-60"/>
                <w:sz w:val="21"/>
                <w:szCs w:val="21"/>
                <w:shd w:val="clear" w:color="auto" w:fill="auto"/>
              </w:rPr>
              <w:t xml:space="preserve"> </w:t>
            </w:r>
            <w:r>
              <w:rPr>
                <w:rFonts w:hint="eastAsia" w:ascii="仿宋" w:hAnsi="仿宋" w:eastAsia="仿宋" w:cs="仿宋"/>
                <w:color w:val="auto"/>
                <w:w w:val="105"/>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指广播电视的发射、传输和监测设施用地，包括无线电收信区、发</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spacing w:val="2"/>
                <w:w w:val="105"/>
                <w:sz w:val="21"/>
                <w:szCs w:val="21"/>
                <w:shd w:val="clear" w:color="auto" w:fill="auto"/>
              </w:rPr>
              <w:t>信区以及广播电视发射台、转播台、差转台、监测站等设施用地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1309</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环卫用地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指生活垃圾、医疗垃圾、危险废物处理和处置，以及垃圾转运、公</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厕、车辆清洗、环卫车辆停放修理等设施用地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1310</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消防用地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指消防站、消防通信及指挥训练中心等设施用地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1311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干渠</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指除农田水利以外，人工修建的从水源地直接引水或调水，用于工</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农业生产、生活和水生态调节的大型渠道</w:t>
            </w:r>
          </w:p>
        </w:tc>
      </w:tr>
    </w:tbl>
    <w:p>
      <w:pPr>
        <w:spacing w:after="0" w:line="319" w:lineRule="auto"/>
        <w:jc w:val="left"/>
        <w:rPr>
          <w:rFonts w:ascii="宋体" w:hAnsi="宋体" w:eastAsia="宋体" w:cs="宋体"/>
          <w:color w:val="auto"/>
          <w:sz w:val="19"/>
          <w:szCs w:val="19"/>
          <w:shd w:val="clear" w:color="auto" w:fill="auto"/>
        </w:rPr>
        <w:sectPr>
          <w:footerReference r:id="rId13" w:type="default"/>
          <w:pgSz w:w="11910" w:h="16850"/>
          <w:pgMar w:top="1360" w:right="1480" w:bottom="1160" w:left="1680" w:header="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8" w:name="国土空间调查、规划、用途管制 用地用海分类指南 2020 21"/>
            <w:bookmarkEnd w:id="68"/>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1312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水工设施用地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指人工修建的闸、坝、堤林路、水电厂房、扬水站等常水位岸线以</w:t>
            </w:r>
            <w:r>
              <w:rPr>
                <w:rFonts w:hint="eastAsia" w:ascii="仿宋" w:hAnsi="仿宋" w:eastAsia="仿宋" w:cs="仿宋"/>
                <w:color w:val="auto"/>
                <w:spacing w:val="13"/>
                <w:sz w:val="21"/>
                <w:szCs w:val="21"/>
                <w:shd w:val="clear" w:color="auto" w:fill="auto"/>
              </w:rPr>
              <w:t xml:space="preserve"> </w:t>
            </w:r>
            <w:r>
              <w:rPr>
                <w:rFonts w:hint="eastAsia" w:ascii="仿宋" w:hAnsi="仿宋" w:eastAsia="仿宋" w:cs="仿宋"/>
                <w:color w:val="auto"/>
                <w:sz w:val="21"/>
                <w:szCs w:val="21"/>
                <w:shd w:val="clear" w:color="auto" w:fill="auto"/>
              </w:rPr>
              <w:t>上的建（构）筑物用地，包括防洪堤、防洪枢纽、排洪沟（渠）等</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设施用地</w:t>
            </w:r>
          </w:p>
        </w:tc>
      </w:tr>
      <w:tr>
        <w:tblPrEx>
          <w:tblCellMar>
            <w:top w:w="0" w:type="dxa"/>
            <w:left w:w="0" w:type="dxa"/>
            <w:bottom w:w="0" w:type="dxa"/>
            <w:right w:w="0" w:type="dxa"/>
          </w:tblCellMar>
        </w:tblPrEx>
        <w:trPr>
          <w:trHeight w:val="48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1313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其他公用设施用</w:t>
            </w: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2"/>
                <w:sz w:val="21"/>
                <w:szCs w:val="21"/>
                <w:shd w:val="clear" w:color="auto" w:fill="auto"/>
              </w:rPr>
              <w:t>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指除以上之外的公用设施用地，包括施工、养护、维修等设施用地</w:t>
            </w:r>
          </w:p>
        </w:tc>
      </w:tr>
      <w:tr>
        <w:tblPrEx>
          <w:tblCellMar>
            <w:top w:w="0" w:type="dxa"/>
            <w:left w:w="0" w:type="dxa"/>
            <w:bottom w:w="0" w:type="dxa"/>
            <w:right w:w="0" w:type="dxa"/>
          </w:tblCellMar>
        </w:tblPrEx>
        <w:trPr>
          <w:trHeight w:val="852"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绿</w:t>
            </w:r>
            <w:r>
              <w:rPr>
                <w:rFonts w:hint="eastAsia" w:ascii="仿宋" w:hAnsi="仿宋" w:eastAsia="仿宋" w:cs="仿宋"/>
                <w:b/>
                <w:bCs/>
                <w:color w:val="auto"/>
                <w:spacing w:val="-34"/>
                <w:w w:val="105"/>
                <w:sz w:val="21"/>
                <w:szCs w:val="21"/>
                <w:shd w:val="clear" w:color="auto" w:fill="auto"/>
              </w:rPr>
              <w:t xml:space="preserve"> </w:t>
            </w:r>
            <w:r>
              <w:rPr>
                <w:rFonts w:hint="eastAsia" w:ascii="仿宋" w:hAnsi="仿宋" w:eastAsia="仿宋" w:cs="仿宋"/>
                <w:b/>
                <w:bCs/>
                <w:color w:val="auto"/>
                <w:spacing w:val="10"/>
                <w:w w:val="105"/>
                <w:sz w:val="21"/>
                <w:szCs w:val="21"/>
                <w:shd w:val="clear" w:color="auto" w:fill="auto"/>
              </w:rPr>
              <w:t>地与开敞</w:t>
            </w:r>
            <w:r>
              <w:rPr>
                <w:rFonts w:hint="eastAsia" w:ascii="仿宋" w:hAnsi="仿宋" w:eastAsia="仿宋" w:cs="仿宋"/>
                <w:b/>
                <w:bCs/>
                <w:color w:val="auto"/>
                <w:spacing w:val="-34"/>
                <w:w w:val="105"/>
                <w:sz w:val="21"/>
                <w:szCs w:val="21"/>
                <w:shd w:val="clear" w:color="auto" w:fill="auto"/>
              </w:rPr>
              <w:t xml:space="preserve"> </w:t>
            </w:r>
            <w:r>
              <w:rPr>
                <w:rFonts w:hint="eastAsia" w:ascii="仿宋" w:hAnsi="仿宋" w:eastAsia="仿宋" w:cs="仿宋"/>
                <w:b/>
                <w:bCs/>
                <w:color w:val="auto"/>
                <w:spacing w:val="7"/>
                <w:w w:val="105"/>
                <w:sz w:val="21"/>
                <w:szCs w:val="21"/>
                <w:shd w:val="clear" w:color="auto" w:fill="auto"/>
              </w:rPr>
              <w:t>空间</w:t>
            </w:r>
            <w:r>
              <w:rPr>
                <w:rFonts w:hint="eastAsia" w:ascii="仿宋" w:hAnsi="仿宋" w:eastAsia="仿宋" w:cs="仿宋"/>
                <w:b/>
                <w:bCs/>
                <w:color w:val="auto"/>
                <w:spacing w:val="14"/>
                <w:w w:val="105"/>
                <w:sz w:val="21"/>
                <w:szCs w:val="21"/>
                <w:shd w:val="clear" w:color="auto" w:fill="auto"/>
              </w:rPr>
              <w:t>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指城镇、村庄建设用地范围内的公园绿地、防护绿地、广场等公共</w:t>
            </w:r>
            <w:r>
              <w:rPr>
                <w:rFonts w:hint="eastAsia" w:ascii="仿宋" w:hAnsi="仿宋" w:eastAsia="仿宋" w:cs="仿宋"/>
                <w:color w:val="auto"/>
                <w:spacing w:val="15"/>
                <w:sz w:val="21"/>
                <w:szCs w:val="21"/>
                <w:shd w:val="clear" w:color="auto" w:fill="auto"/>
              </w:rPr>
              <w:t xml:space="preserve"> </w:t>
            </w:r>
            <w:r>
              <w:rPr>
                <w:rFonts w:hint="eastAsia" w:ascii="仿宋" w:hAnsi="仿宋" w:eastAsia="仿宋" w:cs="仿宋"/>
                <w:color w:val="auto"/>
                <w:w w:val="105"/>
                <w:sz w:val="21"/>
                <w:szCs w:val="21"/>
                <w:shd w:val="clear" w:color="auto" w:fill="auto"/>
              </w:rPr>
              <w:t>开敞空间用地，不包括其他建设用地中的附属绿地</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1401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公园绿地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指向公众开放，以游憩为主要功能，兼具生态、景观、文教、体育</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spacing w:val="-2"/>
                <w:sz w:val="21"/>
                <w:szCs w:val="21"/>
                <w:shd w:val="clear" w:color="auto" w:fill="auto"/>
              </w:rPr>
              <w:t>和应急避险等功能，有一定服务设施的公园和绿地，包括综合公园、</w:t>
            </w:r>
            <w:r>
              <w:rPr>
                <w:rFonts w:hint="eastAsia" w:ascii="仿宋" w:hAnsi="仿宋" w:eastAsia="仿宋" w:cs="仿宋"/>
                <w:color w:val="auto"/>
                <w:w w:val="105"/>
                <w:sz w:val="21"/>
                <w:szCs w:val="21"/>
                <w:shd w:val="clear" w:color="auto" w:fill="auto"/>
              </w:rPr>
              <w:t>社区公园、专类公园和游园等</w:t>
            </w:r>
          </w:p>
        </w:tc>
      </w:tr>
      <w:tr>
        <w:tblPrEx>
          <w:tblCellMar>
            <w:top w:w="0" w:type="dxa"/>
            <w:left w:w="0" w:type="dxa"/>
            <w:bottom w:w="0" w:type="dxa"/>
            <w:right w:w="0" w:type="dxa"/>
          </w:tblCellMar>
        </w:tblPrEx>
        <w:trPr>
          <w:trHeight w:val="34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1402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防护绿地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指具有卫生、隔离、安全、生态防护功能，游人不宜进入的绿地</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1403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广场用地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指以游憩、健身、纪念、集会和避险等功能为主的公共活动场地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特</w:t>
            </w:r>
            <w:r>
              <w:rPr>
                <w:rFonts w:hint="eastAsia" w:ascii="仿宋" w:hAnsi="仿宋" w:eastAsia="仿宋" w:cs="仿宋"/>
                <w:b/>
                <w:bCs/>
                <w:color w:val="auto"/>
                <w:spacing w:val="-36"/>
                <w:w w:val="105"/>
                <w:sz w:val="21"/>
                <w:szCs w:val="21"/>
                <w:shd w:val="clear" w:color="auto" w:fill="auto"/>
              </w:rPr>
              <w:t xml:space="preserve"> </w:t>
            </w:r>
            <w:r>
              <w:rPr>
                <w:rFonts w:hint="eastAsia" w:ascii="仿宋" w:hAnsi="仿宋" w:eastAsia="仿宋" w:cs="仿宋"/>
                <w:b/>
                <w:bCs/>
                <w:color w:val="auto"/>
                <w:spacing w:val="9"/>
                <w:w w:val="105"/>
                <w:sz w:val="21"/>
                <w:szCs w:val="21"/>
                <w:shd w:val="clear" w:color="auto" w:fill="auto"/>
              </w:rPr>
              <w:t>殊用地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指军事、外事、宗教、安保、殡葬，以及文物古迹等具有特殊性质</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的用地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军事设施用地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指直接用于军事目的的设施用地</w:t>
            </w:r>
          </w:p>
        </w:tc>
      </w:tr>
      <w:tr>
        <w:tblPrEx>
          <w:tblCellMar>
            <w:top w:w="0" w:type="dxa"/>
            <w:left w:w="0" w:type="dxa"/>
            <w:bottom w:w="0" w:type="dxa"/>
            <w:right w:w="0" w:type="dxa"/>
          </w:tblCellMar>
        </w:tblPrEx>
        <w:trPr>
          <w:trHeight w:val="34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使领馆用地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指外国驻华使领馆、国际机构办事处及其附属设施等用地</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宗教用地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指宗教活动场所用地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文物古迹用地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指具有保护价值的古遗址、古建筑、古墓葬、石窟寺、近现代史迹</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及纪念建筑等用地，不包括已作其他用途的文物古迹用地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监教场所用地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指监狱、看守所、劳改场、戒毒所等用地范围内的建设用地，不包</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括公安局等行政办公设施用地</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殡葬用地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指殡仪馆、火葬场、骨灰存放处和陵园、墓地等用地</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1507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其他特殊用地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指除以上之外的特殊建设用地，包括边境口岸和自然保护地等的管</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理与服务设施用地</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留白用地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指国土空间规划确定的城镇、村庄范围内暂未明确规划用途、规划</w:t>
            </w:r>
            <w:r>
              <w:rPr>
                <w:rFonts w:hint="eastAsia" w:ascii="仿宋" w:hAnsi="仿宋" w:eastAsia="仿宋" w:cs="仿宋"/>
                <w:color w:val="auto"/>
                <w:spacing w:val="12"/>
                <w:sz w:val="21"/>
                <w:szCs w:val="21"/>
                <w:shd w:val="clear" w:color="auto" w:fill="auto"/>
              </w:rPr>
              <w:t xml:space="preserve"> </w:t>
            </w:r>
            <w:r>
              <w:rPr>
                <w:rFonts w:hint="eastAsia" w:ascii="仿宋" w:hAnsi="仿宋" w:eastAsia="仿宋" w:cs="仿宋"/>
                <w:color w:val="auto"/>
                <w:w w:val="105"/>
                <w:sz w:val="21"/>
                <w:szCs w:val="21"/>
                <w:shd w:val="clear" w:color="auto" w:fill="auto"/>
              </w:rPr>
              <w:t>期内不开发或特定条件下开发的用地</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color w:val="auto"/>
                <w:spacing w:val="10"/>
                <w:w w:val="105"/>
                <w:sz w:val="21"/>
                <w:szCs w:val="21"/>
                <w:shd w:val="clear" w:color="auto" w:fill="auto"/>
              </w:rPr>
              <w:t>17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陆</w:t>
            </w:r>
            <w:r>
              <w:rPr>
                <w:rFonts w:hint="eastAsia" w:ascii="仿宋" w:hAnsi="仿宋" w:eastAsia="仿宋" w:cs="仿宋"/>
                <w:b/>
                <w:bCs/>
                <w:color w:val="auto"/>
                <w:spacing w:val="-36"/>
                <w:w w:val="105"/>
                <w:sz w:val="21"/>
                <w:szCs w:val="21"/>
                <w:shd w:val="clear" w:color="auto" w:fill="auto"/>
              </w:rPr>
              <w:t xml:space="preserve"> </w:t>
            </w:r>
            <w:r>
              <w:rPr>
                <w:rFonts w:hint="eastAsia" w:ascii="仿宋" w:hAnsi="仿宋" w:eastAsia="仿宋" w:cs="仿宋"/>
                <w:b/>
                <w:bCs/>
                <w:color w:val="auto"/>
                <w:spacing w:val="9"/>
                <w:w w:val="105"/>
                <w:sz w:val="21"/>
                <w:szCs w:val="21"/>
                <w:shd w:val="clear" w:color="auto" w:fill="auto"/>
              </w:rPr>
              <w:t>地水域</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指陆域内的河流、湖泊、冰川及常年积雪等天然陆地水域，以及水</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库、坑塘水面、沟渠等人工陆地水域</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1701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河流水面</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指天然形成或人工开挖河流常水位岸线之间的水面，不包括被堤坝</w:t>
            </w:r>
            <w:r>
              <w:rPr>
                <w:rFonts w:hint="eastAsia" w:ascii="仿宋" w:hAnsi="仿宋" w:eastAsia="仿宋" w:cs="仿宋"/>
                <w:color w:val="auto"/>
                <w:spacing w:val="14"/>
                <w:sz w:val="21"/>
                <w:szCs w:val="21"/>
                <w:shd w:val="clear" w:color="auto" w:fill="auto"/>
              </w:rPr>
              <w:t xml:space="preserve"> </w:t>
            </w:r>
            <w:r>
              <w:rPr>
                <w:rFonts w:hint="eastAsia" w:ascii="仿宋" w:hAnsi="仿宋" w:eastAsia="仿宋" w:cs="仿宋"/>
                <w:color w:val="auto"/>
                <w:w w:val="105"/>
                <w:sz w:val="21"/>
                <w:szCs w:val="21"/>
                <w:shd w:val="clear" w:color="auto" w:fill="auto"/>
              </w:rPr>
              <w:t>拦截后形成的水库区段水面</w:t>
            </w:r>
          </w:p>
        </w:tc>
      </w:tr>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1702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湖泊水面</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指天然形成的积水区常水位岸线所围成的水面</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w w:val="105"/>
                <w:sz w:val="21"/>
                <w:szCs w:val="21"/>
                <w:shd w:val="clear" w:color="auto" w:fill="auto"/>
              </w:rPr>
              <w:t>1703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水库水面</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 xml:space="preserve">指人工拦截汇集而成的总设计库容≥10 </w:t>
            </w:r>
            <w:r>
              <w:rPr>
                <w:rFonts w:hint="eastAsia" w:ascii="仿宋" w:hAnsi="仿宋" w:eastAsia="仿宋" w:cs="仿宋"/>
                <w:color w:val="auto"/>
                <w:spacing w:val="5"/>
                <w:sz w:val="21"/>
                <w:szCs w:val="21"/>
                <w:shd w:val="clear" w:color="auto" w:fill="auto"/>
              </w:rPr>
              <w:t>万立方米的水库正常蓄水</w:t>
            </w:r>
            <w:r>
              <w:rPr>
                <w:rFonts w:hint="eastAsia" w:ascii="仿宋" w:hAnsi="仿宋" w:eastAsia="仿宋" w:cs="仿宋"/>
                <w:color w:val="auto"/>
                <w:spacing w:val="10"/>
                <w:sz w:val="21"/>
                <w:szCs w:val="21"/>
                <w:shd w:val="clear" w:color="auto" w:fill="auto"/>
              </w:rPr>
              <w:t xml:space="preserve"> </w:t>
            </w:r>
            <w:r>
              <w:rPr>
                <w:rFonts w:hint="eastAsia" w:ascii="仿宋" w:hAnsi="仿宋" w:eastAsia="仿宋" w:cs="仿宋"/>
                <w:color w:val="auto"/>
                <w:w w:val="105"/>
                <w:sz w:val="21"/>
                <w:szCs w:val="21"/>
                <w:shd w:val="clear" w:color="auto" w:fill="auto"/>
              </w:rPr>
              <w:t>位岸线所围成的水面</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1704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坑塘水面</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 xml:space="preserve">指人工开挖或天然形成的蓄水量＜10 </w:t>
            </w:r>
            <w:r>
              <w:rPr>
                <w:rFonts w:hint="eastAsia" w:ascii="仿宋" w:hAnsi="仿宋" w:eastAsia="仿宋" w:cs="仿宋"/>
                <w:color w:val="auto"/>
                <w:spacing w:val="4"/>
                <w:sz w:val="21"/>
                <w:szCs w:val="21"/>
                <w:shd w:val="clear" w:color="auto" w:fill="auto"/>
              </w:rPr>
              <w:t>万立方米的坑塘常水位岸线</w:t>
            </w:r>
            <w:r>
              <w:rPr>
                <w:rFonts w:hint="eastAsia" w:ascii="仿宋" w:hAnsi="仿宋" w:eastAsia="仿宋" w:cs="仿宋"/>
                <w:color w:val="auto"/>
                <w:w w:val="105"/>
                <w:sz w:val="21"/>
                <w:szCs w:val="21"/>
                <w:shd w:val="clear" w:color="auto" w:fill="auto"/>
              </w:rPr>
              <w:t>所围成的水面</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rPr>
              <w:t>1705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沟渠</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指人工修建，南方宽度≥1.0</w:t>
            </w:r>
            <w:r>
              <w:rPr>
                <w:rFonts w:hint="eastAsia" w:ascii="仿宋" w:hAnsi="仿宋" w:eastAsia="仿宋" w:cs="仿宋"/>
                <w:color w:val="auto"/>
                <w:spacing w:val="-71"/>
                <w:w w:val="105"/>
                <w:sz w:val="21"/>
                <w:szCs w:val="21"/>
                <w:shd w:val="clear" w:color="auto" w:fill="auto"/>
              </w:rPr>
              <w:t xml:space="preserve"> </w:t>
            </w:r>
            <w:r>
              <w:rPr>
                <w:rFonts w:hint="eastAsia" w:ascii="仿宋" w:hAnsi="仿宋" w:eastAsia="仿宋" w:cs="仿宋"/>
                <w:color w:val="auto"/>
                <w:w w:val="105"/>
                <w:sz w:val="21"/>
                <w:szCs w:val="21"/>
                <w:shd w:val="clear" w:color="auto" w:fill="auto"/>
              </w:rPr>
              <w:t>米、北方宽度≥2.0</w:t>
            </w:r>
            <w:r>
              <w:rPr>
                <w:rFonts w:hint="eastAsia" w:ascii="仿宋" w:hAnsi="仿宋" w:eastAsia="仿宋" w:cs="仿宋"/>
                <w:color w:val="auto"/>
                <w:spacing w:val="-70"/>
                <w:w w:val="105"/>
                <w:sz w:val="21"/>
                <w:szCs w:val="21"/>
                <w:shd w:val="clear" w:color="auto" w:fill="auto"/>
              </w:rPr>
              <w:t xml:space="preserve"> </w:t>
            </w:r>
            <w:r>
              <w:rPr>
                <w:rFonts w:hint="eastAsia" w:ascii="仿宋" w:hAnsi="仿宋" w:eastAsia="仿宋" w:cs="仿宋"/>
                <w:color w:val="auto"/>
                <w:spacing w:val="4"/>
                <w:w w:val="105"/>
                <w:sz w:val="21"/>
                <w:szCs w:val="21"/>
                <w:shd w:val="clear" w:color="auto" w:fill="auto"/>
              </w:rPr>
              <w:t>米用于引、排、</w:t>
            </w:r>
            <w:r>
              <w:rPr>
                <w:rFonts w:hint="eastAsia" w:ascii="仿宋" w:hAnsi="仿宋" w:eastAsia="仿宋" w:cs="仿宋"/>
                <w:color w:val="auto"/>
                <w:w w:val="102"/>
                <w:sz w:val="21"/>
                <w:szCs w:val="21"/>
                <w:shd w:val="clear" w:color="auto" w:fill="auto"/>
              </w:rPr>
              <w:t xml:space="preserve"> </w:t>
            </w:r>
            <w:r>
              <w:rPr>
                <w:rFonts w:hint="eastAsia" w:ascii="仿宋" w:hAnsi="仿宋" w:eastAsia="仿宋" w:cs="仿宋"/>
                <w:color w:val="auto"/>
                <w:sz w:val="21"/>
                <w:szCs w:val="21"/>
                <w:shd w:val="clear" w:color="auto" w:fill="auto"/>
              </w:rPr>
              <w:t>灌的渠道，包括渠槽、渠堤、附属护路林及小型泵站，不包括干渠</w:t>
            </w:r>
          </w:p>
        </w:tc>
      </w:tr>
      <w:tr>
        <w:tblPrEx>
          <w:tblCellMar>
            <w:top w:w="0" w:type="dxa"/>
            <w:left w:w="0" w:type="dxa"/>
            <w:bottom w:w="0" w:type="dxa"/>
            <w:right w:w="0" w:type="dxa"/>
          </w:tblCellMar>
        </w:tblPrEx>
        <w:trPr>
          <w:trHeight w:val="34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w w:val="105"/>
                <w:sz w:val="21"/>
                <w:szCs w:val="21"/>
                <w:shd w:val="clear" w:color="auto" w:fill="auto"/>
              </w:rPr>
              <w:t>1706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冰川及常年积雪</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指表层被冰雪常年覆盖的土地</w:t>
            </w:r>
          </w:p>
        </w:tc>
      </w:tr>
    </w:tbl>
    <w:p>
      <w:pPr>
        <w:rPr>
          <w:rFonts w:ascii="宋体" w:hAnsi="宋体" w:eastAsia="宋体" w:cs="宋体"/>
          <w:color w:val="auto"/>
          <w:sz w:val="19"/>
          <w:szCs w:val="19"/>
          <w:shd w:val="clear" w:color="auto" w:fill="auto"/>
        </w:rPr>
      </w:pPr>
    </w:p>
    <w:p>
      <w:pPr>
        <w:pStyle w:val="18"/>
        <w:rPr>
          <w:color w:val="auto"/>
          <w:shd w:val="clear" w:color="auto" w:fill="auto"/>
        </w:rPr>
        <w:sectPr>
          <w:pgSz w:w="11910" w:h="16850"/>
          <w:pgMar w:top="1360" w:right="1480" w:bottom="1160" w:left="1680" w:header="0" w:footer="970" w:gutter="0"/>
          <w:pgNumType w:fmt="decimal"/>
          <w:cols w:space="720" w:num="1"/>
        </w:sectPr>
      </w:pPr>
    </w:p>
    <w:p>
      <w:pPr>
        <w:spacing w:before="8" w:line="240" w:lineRule="auto"/>
        <w:rPr>
          <w:rFonts w:ascii="Times New Roman" w:hAnsi="Times New Roman" w:eastAsia="Times New Roman" w:cs="Times New Roman"/>
          <w:color w:val="auto"/>
          <w:sz w:val="6"/>
          <w:szCs w:val="6"/>
          <w:shd w:val="clear" w:color="auto" w:fill="auto"/>
        </w:rPr>
      </w:pPr>
    </w:p>
    <w:tbl>
      <w:tblPr>
        <w:tblStyle w:val="12"/>
        <w:tblW w:w="0" w:type="auto"/>
        <w:tblInd w:w="106" w:type="dxa"/>
        <w:tblLayout w:type="fixed"/>
        <w:tblCellMar>
          <w:top w:w="0" w:type="dxa"/>
          <w:left w:w="0" w:type="dxa"/>
          <w:bottom w:w="0" w:type="dxa"/>
          <w:right w:w="0" w:type="dxa"/>
        </w:tblCellMar>
      </w:tblPr>
      <w:tblGrid>
        <w:gridCol w:w="857"/>
        <w:gridCol w:w="1697"/>
        <w:gridCol w:w="5962"/>
      </w:tblGrid>
      <w:tr>
        <w:tblPrEx>
          <w:tblCellMar>
            <w:top w:w="0" w:type="dxa"/>
            <w:left w:w="0" w:type="dxa"/>
            <w:bottom w:w="0" w:type="dxa"/>
            <w:right w:w="0" w:type="dxa"/>
          </w:tblCellMar>
        </w:tblPrEx>
        <w:trPr>
          <w:trHeight w:val="345" w:hRule="exact"/>
        </w:trPr>
        <w:tc>
          <w:tcPr>
            <w:tcW w:w="857"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bookmarkStart w:id="69" w:name="国土空间调查、规划、用途管制 用地用海分类指南 2020 23"/>
            <w:bookmarkEnd w:id="69"/>
            <w:r>
              <w:rPr>
                <w:rFonts w:hint="eastAsia" w:ascii="仿宋" w:hAnsi="仿宋" w:eastAsia="仿宋" w:cs="仿宋"/>
                <w:b/>
                <w:bCs/>
                <w:color w:val="auto"/>
                <w:spacing w:val="14"/>
                <w:w w:val="105"/>
                <w:sz w:val="21"/>
                <w:szCs w:val="21"/>
                <w:shd w:val="clear" w:color="auto" w:fill="auto"/>
              </w:rPr>
              <w:t>代码</w:t>
            </w:r>
          </w:p>
        </w:tc>
        <w:tc>
          <w:tcPr>
            <w:tcW w:w="1697" w:type="dxa"/>
            <w:tcBorders>
              <w:top w:val="single" w:color="000000" w:sz="6" w:space="0"/>
              <w:left w:val="single" w:color="000000" w:sz="6" w:space="0"/>
              <w:bottom w:val="single" w:color="000000" w:sz="6" w:space="0"/>
              <w:right w:val="single" w:color="000000" w:sz="6" w:space="0"/>
            </w:tcBorders>
            <w:shd w:val="clear" w:color="auto" w:fill="BEBEBE"/>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名称</w:t>
            </w:r>
          </w:p>
        </w:tc>
        <w:tc>
          <w:tcPr>
            <w:tcW w:w="5962" w:type="dxa"/>
            <w:tcBorders>
              <w:top w:val="single" w:color="000000" w:sz="6" w:space="0"/>
              <w:left w:val="single" w:color="000000" w:sz="6" w:space="0"/>
              <w:bottom w:val="single" w:color="000000" w:sz="6" w:space="0"/>
              <w:right w:val="single" w:color="000000" w:sz="6" w:space="0"/>
            </w:tcBorders>
            <w:shd w:val="clear" w:color="auto" w:fill="BEBEBE"/>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spacing w:val="14"/>
                <w:w w:val="105"/>
                <w:sz w:val="21"/>
                <w:szCs w:val="21"/>
                <w:shd w:val="clear" w:color="auto" w:fill="auto"/>
              </w:rPr>
              <w:t>含义</w:t>
            </w:r>
          </w:p>
        </w:tc>
      </w:tr>
      <w:tr>
        <w:tblPrEx>
          <w:tblCellMar>
            <w:top w:w="0" w:type="dxa"/>
            <w:left w:w="0" w:type="dxa"/>
            <w:bottom w:w="0" w:type="dxa"/>
            <w:right w:w="0" w:type="dxa"/>
          </w:tblCellMar>
        </w:tblPrEx>
        <w:trPr>
          <w:trHeight w:val="100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lang w:val="en-US" w:eastAsia="zh-CN"/>
              </w:rPr>
            </w:pPr>
            <w:r>
              <w:rPr>
                <w:rFonts w:hint="eastAsia" w:ascii="仿宋" w:hAnsi="仿宋" w:eastAsia="仿宋" w:cs="仿宋"/>
                <w:b/>
                <w:color w:val="auto"/>
                <w:spacing w:val="10"/>
                <w:w w:val="105"/>
                <w:sz w:val="21"/>
                <w:szCs w:val="21"/>
                <w:shd w:val="clear" w:color="auto" w:fill="auto"/>
                <w:lang w:val="en-US" w:eastAsia="zh-CN"/>
              </w:rPr>
              <w:t>18</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b/>
                <w:bCs/>
                <w:color w:val="auto"/>
                <w:w w:val="105"/>
                <w:sz w:val="21"/>
                <w:szCs w:val="21"/>
                <w:shd w:val="clear" w:color="auto" w:fill="auto"/>
              </w:rPr>
              <w:t>其</w:t>
            </w:r>
            <w:r>
              <w:rPr>
                <w:rFonts w:hint="eastAsia" w:ascii="仿宋" w:hAnsi="仿宋" w:eastAsia="仿宋" w:cs="仿宋"/>
                <w:b/>
                <w:bCs/>
                <w:color w:val="auto"/>
                <w:spacing w:val="-56"/>
                <w:w w:val="105"/>
                <w:sz w:val="21"/>
                <w:szCs w:val="21"/>
                <w:shd w:val="clear" w:color="auto" w:fill="auto"/>
              </w:rPr>
              <w:t xml:space="preserve"> </w:t>
            </w:r>
            <w:r>
              <w:rPr>
                <w:rFonts w:hint="eastAsia" w:ascii="仿宋" w:hAnsi="仿宋" w:eastAsia="仿宋" w:cs="仿宋"/>
                <w:b/>
                <w:bCs/>
                <w:color w:val="auto"/>
                <w:spacing w:val="9"/>
                <w:w w:val="105"/>
                <w:sz w:val="21"/>
                <w:szCs w:val="21"/>
                <w:shd w:val="clear" w:color="auto" w:fill="auto"/>
              </w:rPr>
              <w:t>他土地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both"/>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4"/>
                <w:sz w:val="21"/>
                <w:szCs w:val="21"/>
                <w:shd w:val="clear" w:color="auto" w:fill="auto"/>
              </w:rPr>
              <w:t>指上述地类以外的其他类型的土地，包括盐碱地、沙地、裸土地、裸岩石砾地等植被稀少的陆域自然荒野等土地以及空闲地、田坎、</w:t>
            </w:r>
            <w:r>
              <w:rPr>
                <w:rFonts w:hint="eastAsia" w:ascii="仿宋" w:hAnsi="仿宋" w:eastAsia="仿宋" w:cs="仿宋"/>
                <w:color w:val="auto"/>
                <w:w w:val="105"/>
                <w:sz w:val="21"/>
                <w:szCs w:val="21"/>
                <w:shd w:val="clear" w:color="auto" w:fill="auto"/>
              </w:rPr>
              <w:t>田间道</w:t>
            </w:r>
          </w:p>
        </w:tc>
      </w:tr>
      <w:tr>
        <w:tblPrEx>
          <w:tblCellMar>
            <w:top w:w="0" w:type="dxa"/>
            <w:left w:w="0" w:type="dxa"/>
            <w:bottom w:w="0" w:type="dxa"/>
            <w:right w:w="0" w:type="dxa"/>
          </w:tblCellMar>
        </w:tblPrEx>
        <w:trPr>
          <w:trHeight w:val="661"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01</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空闲地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指城、镇、村庄范围内尚未使用的建设用地。空闲地仅用于国土调</w:t>
            </w:r>
            <w:r>
              <w:rPr>
                <w:rFonts w:hint="eastAsia" w:ascii="仿宋" w:hAnsi="仿宋" w:eastAsia="仿宋" w:cs="仿宋"/>
                <w:color w:val="auto"/>
                <w:w w:val="105"/>
                <w:sz w:val="21"/>
                <w:szCs w:val="21"/>
                <w:shd w:val="clear" w:color="auto" w:fill="auto"/>
              </w:rPr>
              <w:t>查监测工作</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02</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田坎</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1"/>
                <w:sz w:val="21"/>
                <w:szCs w:val="21"/>
                <w:shd w:val="clear" w:color="auto" w:fill="auto"/>
              </w:rPr>
              <w:t>指梯田及梯状坡地耕地中，主要用于拦蓄水和护坡，南方宽度≥1.0</w:t>
            </w:r>
            <w:r>
              <w:rPr>
                <w:rFonts w:hint="eastAsia" w:ascii="仿宋" w:hAnsi="仿宋" w:eastAsia="仿宋" w:cs="仿宋"/>
                <w:color w:val="auto"/>
                <w:spacing w:val="54"/>
                <w:sz w:val="21"/>
                <w:szCs w:val="21"/>
                <w:shd w:val="clear" w:color="auto" w:fill="auto"/>
              </w:rPr>
              <w:t xml:space="preserve"> </w:t>
            </w:r>
            <w:r>
              <w:rPr>
                <w:rFonts w:hint="eastAsia" w:ascii="仿宋" w:hAnsi="仿宋" w:eastAsia="仿宋" w:cs="仿宋"/>
                <w:color w:val="auto"/>
                <w:sz w:val="21"/>
                <w:szCs w:val="21"/>
                <w:shd w:val="clear" w:color="auto" w:fill="auto"/>
              </w:rPr>
              <w:t>米、北方宽度≥2.0</w:t>
            </w:r>
            <w:r>
              <w:rPr>
                <w:rFonts w:hint="eastAsia" w:ascii="仿宋" w:hAnsi="仿宋" w:eastAsia="仿宋" w:cs="仿宋"/>
                <w:color w:val="auto"/>
                <w:spacing w:val="32"/>
                <w:sz w:val="21"/>
                <w:szCs w:val="21"/>
                <w:shd w:val="clear" w:color="auto" w:fill="auto"/>
              </w:rPr>
              <w:t xml:space="preserve"> </w:t>
            </w:r>
            <w:r>
              <w:rPr>
                <w:rFonts w:hint="eastAsia" w:ascii="仿宋" w:hAnsi="仿宋" w:eastAsia="仿宋" w:cs="仿宋"/>
                <w:color w:val="auto"/>
                <w:sz w:val="21"/>
                <w:szCs w:val="21"/>
                <w:shd w:val="clear" w:color="auto" w:fill="auto"/>
              </w:rPr>
              <w:t>米的地坎</w:t>
            </w:r>
          </w:p>
        </w:tc>
      </w:tr>
      <w:tr>
        <w:tblPrEx>
          <w:tblCellMar>
            <w:top w:w="0" w:type="dxa"/>
            <w:left w:w="0" w:type="dxa"/>
            <w:bottom w:w="0" w:type="dxa"/>
            <w:right w:w="0" w:type="dxa"/>
          </w:tblCellMar>
        </w:tblPrEx>
        <w:trPr>
          <w:trHeight w:val="697"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03</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田间道</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指在农村范围内，用于田间交通运输，为农业生产、农村生活服务</w:t>
            </w:r>
            <w:r>
              <w:rPr>
                <w:rFonts w:hint="eastAsia" w:ascii="仿宋" w:hAnsi="仿宋" w:eastAsia="仿宋" w:cs="仿宋"/>
                <w:color w:val="auto"/>
                <w:w w:val="105"/>
                <w:sz w:val="21"/>
                <w:szCs w:val="21"/>
                <w:shd w:val="clear" w:color="auto" w:fill="auto"/>
              </w:rPr>
              <w:t>的未对地表耕作层造成破坏的非硬化道路</w:t>
            </w:r>
          </w:p>
        </w:tc>
      </w:tr>
      <w:tr>
        <w:tblPrEx>
          <w:tblCellMar>
            <w:top w:w="0" w:type="dxa"/>
            <w:left w:w="0" w:type="dxa"/>
            <w:bottom w:w="0" w:type="dxa"/>
            <w:right w:w="0" w:type="dxa"/>
          </w:tblCellMar>
        </w:tblPrEx>
        <w:trPr>
          <w:trHeight w:val="67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04</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盐碱地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z w:val="21"/>
                <w:szCs w:val="21"/>
                <w:shd w:val="clear" w:color="auto" w:fill="auto"/>
              </w:rPr>
              <w:t>指表层盐碱聚集，生长天然耐盐碱植物的土地。不包括沼泽地和沼</w:t>
            </w:r>
            <w:r>
              <w:rPr>
                <w:rFonts w:hint="eastAsia" w:ascii="仿宋" w:hAnsi="仿宋" w:eastAsia="仿宋" w:cs="仿宋"/>
                <w:color w:val="auto"/>
                <w:w w:val="105"/>
                <w:sz w:val="21"/>
                <w:szCs w:val="21"/>
                <w:shd w:val="clear" w:color="auto" w:fill="auto"/>
              </w:rPr>
              <w:t>泽草地</w:t>
            </w:r>
          </w:p>
        </w:tc>
      </w:tr>
      <w:tr>
        <w:tblPrEx>
          <w:tblCellMar>
            <w:top w:w="0" w:type="dxa"/>
            <w:left w:w="0" w:type="dxa"/>
            <w:bottom w:w="0" w:type="dxa"/>
            <w:right w:w="0" w:type="dxa"/>
          </w:tblCellMar>
        </w:tblPrEx>
        <w:trPr>
          <w:trHeight w:val="346"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05</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沙地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2"/>
                <w:w w:val="105"/>
                <w:sz w:val="21"/>
                <w:szCs w:val="21"/>
                <w:shd w:val="clear" w:color="auto" w:fill="auto"/>
              </w:rPr>
              <w:t>指表层为沙覆盖、植被覆盖度≤5%的土地。不包括滩涂中的沙地</w:t>
            </w:r>
          </w:p>
        </w:tc>
      </w:tr>
      <w:tr>
        <w:tblPrEx>
          <w:tblCellMar>
            <w:top w:w="0" w:type="dxa"/>
            <w:left w:w="0" w:type="dxa"/>
            <w:bottom w:w="0" w:type="dxa"/>
            <w:right w:w="0" w:type="dxa"/>
          </w:tblCellMar>
        </w:tblPrEx>
        <w:trPr>
          <w:trHeight w:val="330"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06</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裸土地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指表层为土质，植被覆盖度≤5%的土地。不包括滩涂中的泥滩</w:t>
            </w:r>
          </w:p>
        </w:tc>
      </w:tr>
      <w:tr>
        <w:tblPrEx>
          <w:tblCellMar>
            <w:top w:w="0" w:type="dxa"/>
            <w:left w:w="0" w:type="dxa"/>
            <w:bottom w:w="0" w:type="dxa"/>
            <w:right w:w="0" w:type="dxa"/>
          </w:tblCellMar>
        </w:tblPrEx>
        <w:trPr>
          <w:trHeight w:val="675" w:hRule="exact"/>
        </w:trPr>
        <w:tc>
          <w:tcPr>
            <w:tcW w:w="857"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p>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6"/>
                <w:w w:val="105"/>
                <w:sz w:val="21"/>
                <w:szCs w:val="21"/>
                <w:shd w:val="clear" w:color="auto" w:fill="auto"/>
                <w:lang w:val="en-US" w:eastAsia="zh-CN"/>
              </w:rPr>
              <w:t>18</w:t>
            </w:r>
            <w:r>
              <w:rPr>
                <w:rFonts w:hint="eastAsia" w:ascii="仿宋" w:hAnsi="仿宋" w:eastAsia="仿宋" w:cs="仿宋"/>
                <w:color w:val="auto"/>
                <w:spacing w:val="6"/>
                <w:w w:val="105"/>
                <w:sz w:val="21"/>
                <w:szCs w:val="21"/>
                <w:shd w:val="clear" w:color="auto" w:fill="auto"/>
              </w:rPr>
              <w:t>07</w:t>
            </w:r>
          </w:p>
        </w:tc>
        <w:tc>
          <w:tcPr>
            <w:tcW w:w="1697" w:type="dxa"/>
            <w:tcBorders>
              <w:top w:val="single" w:color="000000" w:sz="6" w:space="0"/>
              <w:left w:val="single" w:color="000000" w:sz="6" w:space="0"/>
              <w:bottom w:val="single" w:color="000000" w:sz="6" w:space="0"/>
              <w:right w:val="single" w:color="000000" w:sz="6" w:space="0"/>
            </w:tcBorders>
            <w:vAlign w:val="center"/>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center"/>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w w:val="105"/>
                <w:sz w:val="21"/>
                <w:szCs w:val="21"/>
                <w:shd w:val="clear" w:color="auto" w:fill="auto"/>
              </w:rPr>
              <w:t>裸岩石砾地</w:t>
            </w:r>
          </w:p>
        </w:tc>
        <w:tc>
          <w:tcPr>
            <w:tcW w:w="5962" w:type="dxa"/>
            <w:tcBorders>
              <w:top w:val="single" w:color="000000" w:sz="6" w:space="0"/>
              <w:left w:val="single" w:color="000000" w:sz="6" w:space="0"/>
              <w:bottom w:val="single" w:color="000000" w:sz="6" w:space="0"/>
              <w:right w:val="single" w:color="000000" w:sz="6" w:space="0"/>
            </w:tcBorders>
          </w:tcPr>
          <w:p>
            <w:pPr>
              <w:pStyle w:val="19"/>
              <w:keepNext w:val="0"/>
              <w:keepLines w:val="0"/>
              <w:pageBreakBefore w:val="0"/>
              <w:widowControl w:val="0"/>
              <w:kinsoku/>
              <w:wordWrap/>
              <w:overflowPunct/>
              <w:topLinePunct w:val="0"/>
              <w:autoSpaceDE/>
              <w:autoSpaceDN/>
              <w:bidi w:val="0"/>
              <w:adjustRightInd/>
              <w:snapToGrid/>
              <w:spacing w:before="0" w:line="240" w:lineRule="auto"/>
              <w:ind w:left="0" w:right="0"/>
              <w:jc w:val="left"/>
              <w:textAlignment w:val="auto"/>
              <w:rPr>
                <w:rFonts w:hint="eastAsia" w:ascii="仿宋" w:hAnsi="仿宋" w:eastAsia="仿宋" w:cs="仿宋"/>
                <w:color w:val="auto"/>
                <w:sz w:val="21"/>
                <w:szCs w:val="21"/>
                <w:shd w:val="clear" w:color="auto" w:fill="auto"/>
              </w:rPr>
            </w:pPr>
            <w:r>
              <w:rPr>
                <w:rFonts w:hint="eastAsia" w:ascii="仿宋" w:hAnsi="仿宋" w:eastAsia="仿宋" w:cs="仿宋"/>
                <w:color w:val="auto"/>
                <w:spacing w:val="3"/>
                <w:sz w:val="21"/>
                <w:szCs w:val="21"/>
                <w:shd w:val="clear" w:color="auto" w:fill="auto"/>
              </w:rPr>
              <w:t>指表层为岩石或石砾，其覆盖面积≥70%的土地。不包括滩涂中的</w:t>
            </w:r>
            <w:r>
              <w:rPr>
                <w:rFonts w:hint="eastAsia" w:ascii="仿宋" w:hAnsi="仿宋" w:eastAsia="仿宋" w:cs="仿宋"/>
                <w:color w:val="auto"/>
                <w:w w:val="105"/>
                <w:sz w:val="21"/>
                <w:szCs w:val="21"/>
                <w:shd w:val="clear" w:color="auto" w:fill="auto"/>
              </w:rPr>
              <w:t>石滩</w:t>
            </w:r>
          </w:p>
        </w:tc>
      </w:tr>
    </w:tbl>
    <w:p>
      <w:pP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br w:type="page"/>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40"/>
        <w:jc w:val="both"/>
        <w:textAlignment w:val="auto"/>
        <w:rPr>
          <w:rFonts w:hint="eastAsia" w:ascii="宋体" w:hAnsi="宋体" w:eastAsia="宋体" w:cs="宋体"/>
          <w:color w:val="auto"/>
          <w:sz w:val="32"/>
          <w:szCs w:val="32"/>
          <w:shd w:val="clear" w:color="auto" w:fill="auto"/>
        </w:rPr>
      </w:pPr>
      <w:bookmarkStart w:id="70" w:name="_Toc6317"/>
      <w:r>
        <w:rPr>
          <w:rFonts w:hint="eastAsia" w:ascii="宋体" w:hAnsi="宋体" w:eastAsia="宋体" w:cs="宋体"/>
          <w:color w:val="auto"/>
          <w:sz w:val="32"/>
          <w:szCs w:val="32"/>
          <w:shd w:val="clear" w:color="auto" w:fill="auto"/>
        </w:rPr>
        <w:t>附录一：附则与说明</w:t>
      </w:r>
      <w:bookmarkEnd w:id="70"/>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一、本规定是对国家现行法律、规范及标准的补充和完善，未列入本规定内容的各项规划建设活动，应按国家现行的有关法律、规范和标准执行。</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二、本规定的主要内容和指标，采自国家有关法律、规范、标准和</w:t>
      </w:r>
      <w:r>
        <w:rPr>
          <w:rFonts w:hint="eastAsia" w:ascii="仿宋_GB2312" w:hAnsi="仿宋_GB2312" w:eastAsia="仿宋_GB2312" w:cs="仿宋_GB2312"/>
          <w:color w:val="auto"/>
          <w:sz w:val="30"/>
          <w:szCs w:val="30"/>
          <w:shd w:val="clear" w:color="auto" w:fill="auto"/>
          <w:lang w:eastAsia="zh-CN"/>
        </w:rPr>
        <w:t>湘西自治州</w:t>
      </w:r>
      <w:r>
        <w:rPr>
          <w:rFonts w:hint="eastAsia" w:ascii="仿宋_GB2312" w:hAnsi="仿宋_GB2312" w:eastAsia="仿宋_GB2312" w:cs="仿宋_GB2312"/>
          <w:color w:val="auto"/>
          <w:sz w:val="30"/>
          <w:szCs w:val="30"/>
          <w:shd w:val="clear" w:color="auto" w:fill="auto"/>
        </w:rPr>
        <w:t>现行的有关规定或者借鉴参考了国内其它城市规划管理的经验，若国家相关法律、规范和标准发生变化，从其规定。</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三、为了便于在执行本规定时区别对待，对要求严格程度不同的用词</w:t>
      </w:r>
      <w:r>
        <w:rPr>
          <w:rFonts w:hint="eastAsia" w:ascii="仿宋_GB2312" w:hAnsi="仿宋_GB2312" w:eastAsia="仿宋_GB2312" w:cs="仿宋_GB2312"/>
          <w:color w:val="auto"/>
          <w:spacing w:val="-24"/>
          <w:sz w:val="30"/>
          <w:szCs w:val="30"/>
          <w:shd w:val="clear" w:color="auto" w:fill="auto"/>
        </w:rPr>
        <w:t>说明如下。表示严格，非这样不可的：正面词采用“必须”；反面词采用“严</w:t>
      </w:r>
      <w:r>
        <w:rPr>
          <w:rFonts w:hint="eastAsia" w:ascii="仿宋_GB2312" w:hAnsi="仿宋_GB2312" w:eastAsia="仿宋_GB2312" w:cs="仿宋_GB2312"/>
          <w:color w:val="auto"/>
          <w:spacing w:val="-16"/>
          <w:w w:val="100"/>
          <w:sz w:val="30"/>
          <w:szCs w:val="30"/>
          <w:shd w:val="clear" w:color="auto" w:fill="auto"/>
        </w:rPr>
        <w:t>禁”。表示严格，在正常情况下均应这样做的：正面词采用“应”；反面词</w:t>
      </w:r>
      <w:r>
        <w:rPr>
          <w:rFonts w:hint="eastAsia" w:ascii="仿宋_GB2312" w:hAnsi="仿宋_GB2312" w:eastAsia="仿宋_GB2312" w:cs="仿宋_GB2312"/>
          <w:color w:val="auto"/>
          <w:spacing w:val="-16"/>
          <w:sz w:val="30"/>
          <w:szCs w:val="30"/>
          <w:shd w:val="clear" w:color="auto" w:fill="auto"/>
        </w:rPr>
        <w:t>采用“不应”或“不得”。表示允许稍有选择，在条件许可时首先应这样做</w:t>
      </w:r>
      <w:r>
        <w:rPr>
          <w:rFonts w:hint="eastAsia" w:ascii="仿宋_GB2312" w:hAnsi="仿宋_GB2312" w:eastAsia="仿宋_GB2312" w:cs="仿宋_GB2312"/>
          <w:color w:val="auto"/>
          <w:spacing w:val="-22"/>
          <w:w w:val="100"/>
          <w:sz w:val="30"/>
          <w:szCs w:val="30"/>
          <w:shd w:val="clear" w:color="auto" w:fill="auto"/>
        </w:rPr>
        <w:t>的：正面词采用“宜”或“可”；反面词采用“不宜”。</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r>
        <w:rPr>
          <w:rFonts w:hint="eastAsia" w:ascii="仿宋_GB2312" w:hAnsi="仿宋_GB2312" w:eastAsia="仿宋_GB2312" w:cs="仿宋_GB2312"/>
          <w:color w:val="auto"/>
          <w:spacing w:val="-3"/>
          <w:sz w:val="30"/>
          <w:szCs w:val="30"/>
          <w:shd w:val="clear" w:color="auto" w:fill="auto"/>
        </w:rPr>
        <w:t>四、本规定由</w:t>
      </w:r>
      <w:r>
        <w:rPr>
          <w:rFonts w:hint="eastAsia" w:ascii="仿宋_GB2312" w:hAnsi="仿宋_GB2312" w:eastAsia="仿宋_GB2312" w:cs="仿宋_GB2312"/>
          <w:color w:val="auto"/>
          <w:spacing w:val="-3"/>
          <w:sz w:val="30"/>
          <w:szCs w:val="30"/>
          <w:shd w:val="clear" w:color="auto" w:fill="auto"/>
          <w:lang w:eastAsia="zh-CN"/>
        </w:rPr>
        <w:t>湘西自治州</w:t>
      </w:r>
      <w:r>
        <w:rPr>
          <w:rFonts w:hint="eastAsia" w:ascii="仿宋_GB2312" w:hAnsi="仿宋_GB2312" w:eastAsia="仿宋_GB2312" w:cs="仿宋_GB2312"/>
          <w:color w:val="auto"/>
          <w:spacing w:val="-3"/>
          <w:sz w:val="30"/>
          <w:szCs w:val="30"/>
          <w:shd w:val="clear" w:color="auto" w:fill="auto"/>
        </w:rPr>
        <w:t>自然资源和规划局负责解释。</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588" w:firstLineChars="200"/>
        <w:textAlignment w:val="auto"/>
        <w:rPr>
          <w:rFonts w:hint="eastAsia" w:ascii="仿宋_GB2312" w:hAnsi="仿宋_GB2312" w:eastAsia="仿宋_GB2312" w:cs="仿宋_GB2312"/>
          <w:color w:val="auto"/>
          <w:spacing w:val="-3"/>
          <w:sz w:val="30"/>
          <w:szCs w:val="30"/>
          <w:shd w:val="clear" w:color="auto" w:fill="auto"/>
        </w:rPr>
      </w:pP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40"/>
        <w:jc w:val="both"/>
        <w:textAlignment w:val="auto"/>
        <w:rPr>
          <w:rFonts w:hint="eastAsia" w:ascii="宋体" w:hAnsi="宋体" w:eastAsia="宋体" w:cs="宋体"/>
          <w:color w:val="auto"/>
          <w:sz w:val="32"/>
          <w:szCs w:val="32"/>
          <w:shd w:val="clear" w:color="auto" w:fill="auto"/>
        </w:rPr>
      </w:pPr>
      <w:bookmarkStart w:id="71" w:name="_Toc17256"/>
      <w:r>
        <w:rPr>
          <w:rFonts w:hint="eastAsia" w:ascii="宋体" w:hAnsi="宋体" w:eastAsia="宋体" w:cs="宋体"/>
          <w:color w:val="auto"/>
          <w:sz w:val="32"/>
          <w:szCs w:val="32"/>
          <w:shd w:val="clear" w:color="auto" w:fill="auto"/>
        </w:rPr>
        <w:t>附录二：名词解释</w:t>
      </w:r>
      <w:bookmarkEnd w:id="71"/>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一、城市建成区：城市行政区内实际已成片开发建设，市政公用设施和公共设施基本具备的地区。</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w:t>
      </w:r>
      <w:r>
        <w:rPr>
          <w:rFonts w:hint="eastAsia" w:ascii="仿宋_GB2312" w:hAnsi="仿宋_GB2312" w:eastAsia="仿宋_GB2312" w:cs="仿宋_GB2312"/>
          <w:color w:val="auto"/>
          <w:sz w:val="30"/>
          <w:szCs w:val="30"/>
          <w:shd w:val="clear" w:color="auto" w:fill="auto"/>
        </w:rPr>
        <w:t>、规划建设区：国土空间总体规划确定建设的区域。</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三</w:t>
      </w:r>
      <w:r>
        <w:rPr>
          <w:rFonts w:hint="eastAsia" w:ascii="仿宋_GB2312" w:hAnsi="仿宋_GB2312" w:eastAsia="仿宋_GB2312" w:cs="仿宋_GB2312"/>
          <w:color w:val="auto"/>
          <w:sz w:val="30"/>
          <w:szCs w:val="30"/>
          <w:shd w:val="clear" w:color="auto" w:fill="auto"/>
        </w:rPr>
        <w:t>、新建：新建设的或将原建筑全部拆除而重新建设的活动。</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四</w:t>
      </w:r>
      <w:r>
        <w:rPr>
          <w:rFonts w:hint="eastAsia" w:ascii="仿宋_GB2312" w:hAnsi="仿宋_GB2312" w:eastAsia="仿宋_GB2312" w:cs="仿宋_GB2312"/>
          <w:color w:val="auto"/>
          <w:sz w:val="30"/>
          <w:szCs w:val="30"/>
          <w:shd w:val="clear" w:color="auto" w:fill="auto"/>
        </w:rPr>
        <w:t>、扩建(加层)：在原有建筑水平方向或垂直方向扩大建筑面积，且扩建部分建筑面积不超过原有建筑面积的建设活动。</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五</w:t>
      </w:r>
      <w:r>
        <w:rPr>
          <w:rFonts w:hint="eastAsia" w:ascii="仿宋_GB2312" w:hAnsi="仿宋_GB2312" w:eastAsia="仿宋_GB2312" w:cs="仿宋_GB2312"/>
          <w:color w:val="auto"/>
          <w:sz w:val="30"/>
          <w:szCs w:val="30"/>
          <w:shd w:val="clear" w:color="auto" w:fill="auto"/>
        </w:rPr>
        <w:t>、改建：改变建筑用途、平面间隔或建筑立面，但不改变原有建筑基础和结构主体的建设活动。</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六</w:t>
      </w:r>
      <w:r>
        <w:rPr>
          <w:rFonts w:hint="eastAsia" w:ascii="仿宋_GB2312" w:hAnsi="仿宋_GB2312" w:eastAsia="仿宋_GB2312" w:cs="仿宋_GB2312"/>
          <w:color w:val="auto"/>
          <w:sz w:val="30"/>
          <w:szCs w:val="30"/>
          <w:shd w:val="clear" w:color="auto" w:fill="auto"/>
        </w:rPr>
        <w:t>、规划用地界线：按规定审批权限批准，由自然资源主管部门划定的建设用地范围边界线。</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七</w:t>
      </w:r>
      <w:r>
        <w:rPr>
          <w:rFonts w:hint="eastAsia" w:ascii="仿宋_GB2312" w:hAnsi="仿宋_GB2312" w:eastAsia="仿宋_GB2312" w:cs="仿宋_GB2312"/>
          <w:color w:val="auto"/>
          <w:sz w:val="30"/>
          <w:szCs w:val="30"/>
          <w:shd w:val="clear" w:color="auto" w:fill="auto"/>
        </w:rPr>
        <w:t>、</w:t>
      </w:r>
      <w:r>
        <w:rPr>
          <w:rFonts w:hint="eastAsia" w:ascii="仿宋_GB2312" w:hAnsi="仿宋_GB2312" w:eastAsia="仿宋_GB2312" w:cs="仿宋_GB2312"/>
          <w:color w:val="auto"/>
          <w:sz w:val="30"/>
          <w:szCs w:val="30"/>
          <w:shd w:val="clear" w:color="auto" w:fill="auto"/>
          <w:lang w:val="en-US" w:eastAsia="zh-CN"/>
        </w:rPr>
        <w:t>规划“七线”：</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红线——指城市道路用地规划控制线。</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绿线——规划城市公共绿地、防护绿地、生产绿地、居住区绿地、单位附属绿地、道路绿地和风景林地等。</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蓝线——规定城市水面、主要包括河流、湖泊及护埋等。</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紫线——规定保护历史文化街区和历史建筑。</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黑线——指城市电力线路用地规划控制线。</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橙线——涉及城市中重大危险设施。</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lang w:val="en-US" w:eastAsia="zh-CN"/>
        </w:rPr>
        <w:t>黄线——涉及城市基础设施用地，包括城市公共交通设施、城市供水设施、城市环境卫生设施、城市供燃气设施等。</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八、</w:t>
      </w:r>
      <w:r>
        <w:rPr>
          <w:rFonts w:hint="eastAsia" w:ascii="仿宋_GB2312" w:hAnsi="仿宋_GB2312" w:eastAsia="仿宋_GB2312" w:cs="仿宋_GB2312"/>
          <w:color w:val="auto"/>
          <w:sz w:val="30"/>
          <w:szCs w:val="30"/>
          <w:shd w:val="clear" w:color="auto" w:fill="auto"/>
        </w:rPr>
        <w:t>基底面积</w:t>
      </w:r>
      <w:r>
        <w:rPr>
          <w:rFonts w:hint="eastAsia" w:ascii="仿宋_GB2312" w:hAnsi="仿宋_GB2312" w:eastAsia="仿宋_GB2312" w:cs="仿宋_GB2312"/>
          <w:color w:val="auto"/>
          <w:sz w:val="30"/>
          <w:szCs w:val="30"/>
          <w:shd w:val="clear" w:color="auto" w:fill="auto"/>
          <w:lang w:eastAsia="zh-CN"/>
        </w:rPr>
        <w:t>：</w:t>
      </w:r>
      <w:r>
        <w:rPr>
          <w:rFonts w:hint="eastAsia" w:ascii="仿宋_GB2312" w:hAnsi="仿宋_GB2312" w:eastAsia="仿宋_GB2312" w:cs="仿宋_GB2312"/>
          <w:color w:val="auto"/>
          <w:sz w:val="30"/>
          <w:szCs w:val="30"/>
          <w:shd w:val="clear" w:color="auto" w:fill="auto"/>
        </w:rPr>
        <w:t>建筑物与室外地面相连接的外围护结构或柱子外边线所包围区域以及部分悬挑建筑外围的水平投影面积。</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九</w:t>
      </w:r>
      <w:r>
        <w:rPr>
          <w:rFonts w:hint="eastAsia" w:ascii="仿宋_GB2312" w:hAnsi="仿宋_GB2312" w:eastAsia="仿宋_GB2312" w:cs="仿宋_GB2312"/>
          <w:color w:val="auto"/>
          <w:sz w:val="30"/>
          <w:szCs w:val="30"/>
          <w:shd w:val="clear" w:color="auto" w:fill="auto"/>
        </w:rPr>
        <w:t>、容积率：在一定范围内，计容建筑面积总和与总用地面积的比值，容积率指标应精确到小数点后两位数。</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十</w:t>
      </w:r>
      <w:r>
        <w:rPr>
          <w:rFonts w:hint="eastAsia" w:ascii="仿宋_GB2312" w:hAnsi="仿宋_GB2312" w:eastAsia="仿宋_GB2312" w:cs="仿宋_GB2312"/>
          <w:color w:val="auto"/>
          <w:sz w:val="30"/>
          <w:szCs w:val="30"/>
          <w:shd w:val="clear" w:color="auto" w:fill="auto"/>
        </w:rPr>
        <w:t>、建筑密度：建设用地红线范围内各类建筑物的基底总面积与总用地面积的比值。</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一</w:t>
      </w:r>
      <w:r>
        <w:rPr>
          <w:rFonts w:hint="eastAsia" w:ascii="仿宋_GB2312" w:hAnsi="仿宋_GB2312" w:eastAsia="仿宋_GB2312" w:cs="仿宋_GB2312"/>
          <w:color w:val="auto"/>
          <w:sz w:val="30"/>
          <w:szCs w:val="30"/>
          <w:shd w:val="clear" w:color="auto" w:fill="auto"/>
        </w:rPr>
        <w:t>、绿地率：在一定范围内，绿地面积总和与总用地面积的比值，绿地率指标应精确到小数点后两位数。</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二</w:t>
      </w:r>
      <w:r>
        <w:rPr>
          <w:rFonts w:hint="eastAsia" w:ascii="仿宋_GB2312" w:hAnsi="仿宋_GB2312" w:eastAsia="仿宋_GB2312" w:cs="仿宋_GB2312"/>
          <w:color w:val="auto"/>
          <w:sz w:val="30"/>
          <w:szCs w:val="30"/>
          <w:shd w:val="clear" w:color="auto" w:fill="auto"/>
        </w:rPr>
        <w:t>、建筑高度：建筑屋面为坡屋面时，建筑高度为建筑室外设计地面至其檐口与屋脊的平均高度。建筑屋面为平屋面时，建筑高度为建筑室外设计地面至其屋面面层的高度。</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三</w:t>
      </w:r>
      <w:r>
        <w:rPr>
          <w:rFonts w:hint="eastAsia" w:ascii="仿宋_GB2312" w:hAnsi="仿宋_GB2312" w:eastAsia="仿宋_GB2312" w:cs="仿宋_GB2312"/>
          <w:color w:val="auto"/>
          <w:sz w:val="30"/>
          <w:szCs w:val="30"/>
          <w:shd w:val="clear" w:color="auto" w:fill="auto"/>
        </w:rPr>
        <w:t>、建筑限高</w:t>
      </w:r>
      <w:r>
        <w:rPr>
          <w:rFonts w:hint="eastAsia" w:ascii="仿宋_GB2312" w:hAnsi="仿宋_GB2312" w:eastAsia="仿宋_GB2312" w:cs="仿宋_GB2312"/>
          <w:color w:val="auto"/>
          <w:sz w:val="30"/>
          <w:szCs w:val="30"/>
          <w:shd w:val="clear" w:color="auto" w:fill="auto"/>
          <w:lang w:eastAsia="zh-CN"/>
        </w:rPr>
        <w:t>：</w:t>
      </w:r>
      <w:r>
        <w:rPr>
          <w:rFonts w:hint="eastAsia" w:ascii="仿宋_GB2312" w:hAnsi="仿宋_GB2312" w:eastAsia="仿宋_GB2312" w:cs="仿宋_GB2312"/>
          <w:color w:val="auto"/>
          <w:sz w:val="30"/>
          <w:szCs w:val="30"/>
          <w:shd w:val="clear" w:color="auto" w:fill="auto"/>
        </w:rPr>
        <w:t>包括屋顶的附属物如电梯机房、水箱、烟囱等的高度，含微波天线、旗杆、避雷针等。</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十四、</w:t>
      </w:r>
      <w:r>
        <w:rPr>
          <w:rFonts w:hint="eastAsia" w:ascii="仿宋_GB2312" w:hAnsi="仿宋_GB2312" w:eastAsia="仿宋_GB2312" w:cs="仿宋_GB2312"/>
          <w:color w:val="auto"/>
          <w:sz w:val="30"/>
          <w:szCs w:val="30"/>
          <w:shd w:val="clear" w:color="auto" w:fill="auto"/>
        </w:rPr>
        <w:t>建筑面积</w:t>
      </w:r>
      <w:r>
        <w:rPr>
          <w:rFonts w:hint="eastAsia" w:ascii="仿宋_GB2312" w:hAnsi="仿宋_GB2312" w:eastAsia="仿宋_GB2312" w:cs="仿宋_GB2312"/>
          <w:color w:val="auto"/>
          <w:sz w:val="30"/>
          <w:szCs w:val="30"/>
          <w:shd w:val="clear" w:color="auto" w:fill="auto"/>
          <w:lang w:eastAsia="zh-CN"/>
        </w:rPr>
        <w:t>：</w:t>
      </w:r>
      <w:r>
        <w:rPr>
          <w:rFonts w:hint="eastAsia" w:ascii="仿宋_GB2312" w:hAnsi="仿宋_GB2312" w:eastAsia="仿宋_GB2312" w:cs="仿宋_GB2312"/>
          <w:color w:val="auto"/>
          <w:sz w:val="30"/>
          <w:szCs w:val="30"/>
          <w:shd w:val="clear" w:color="auto" w:fill="auto"/>
        </w:rPr>
        <w:t>建筑外墙（柱）勒脚以上各层的外围水平投影面积之和，包括阳台、挑廊、地下室、室外楼梯等房屋附属设施的面积。</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五</w:t>
      </w:r>
      <w:r>
        <w:rPr>
          <w:rFonts w:hint="eastAsia" w:ascii="仿宋_GB2312" w:hAnsi="仿宋_GB2312" w:eastAsia="仿宋_GB2312" w:cs="仿宋_GB2312"/>
          <w:color w:val="auto"/>
          <w:sz w:val="30"/>
          <w:szCs w:val="30"/>
          <w:shd w:val="clear" w:color="auto" w:fill="auto"/>
        </w:rPr>
        <w:t>、建筑间距：</w:t>
      </w:r>
      <w:r>
        <w:rPr>
          <w:rFonts w:hint="eastAsia" w:ascii="仿宋_GB2312" w:hAnsi="仿宋_GB2312" w:eastAsia="仿宋_GB2312" w:cs="仿宋_GB2312"/>
          <w:color w:val="auto"/>
          <w:sz w:val="30"/>
          <w:szCs w:val="30"/>
          <w:shd w:val="clear" w:color="auto" w:fill="auto"/>
        </w:rPr>
        <w:t>建筑主体外墙</w:t>
      </w:r>
      <w:r>
        <w:rPr>
          <w:rFonts w:hint="eastAsia" w:ascii="仿宋_GB2312" w:hAnsi="仿宋_GB2312" w:eastAsia="仿宋_GB2312" w:cs="仿宋_GB2312"/>
          <w:b/>
          <w:bCs/>
          <w:color w:val="auto"/>
          <w:sz w:val="30"/>
          <w:szCs w:val="30"/>
          <w:shd w:val="clear" w:color="auto" w:fill="auto"/>
        </w:rPr>
        <w:t>轴线</w:t>
      </w:r>
      <w:r>
        <w:rPr>
          <w:rFonts w:hint="eastAsia" w:ascii="仿宋_GB2312" w:hAnsi="仿宋_GB2312" w:eastAsia="仿宋_GB2312" w:cs="仿宋_GB2312"/>
          <w:b/>
          <w:bCs/>
          <w:color w:val="auto"/>
          <w:sz w:val="30"/>
          <w:szCs w:val="30"/>
          <w:shd w:val="clear" w:color="auto" w:fill="auto"/>
          <w:lang w:eastAsia="zh-CN"/>
        </w:rPr>
        <w:t>（</w:t>
      </w:r>
      <w:r>
        <w:rPr>
          <w:rFonts w:hint="eastAsia" w:ascii="仿宋_GB2312" w:hAnsi="仿宋_GB2312" w:eastAsia="仿宋_GB2312" w:cs="仿宋_GB2312"/>
          <w:b/>
          <w:bCs/>
          <w:color w:val="auto"/>
          <w:sz w:val="30"/>
          <w:szCs w:val="30"/>
          <w:shd w:val="clear" w:color="auto" w:fill="auto"/>
          <w:lang w:val="en-US" w:eastAsia="zh-CN"/>
        </w:rPr>
        <w:t>边线</w:t>
      </w:r>
      <w:r>
        <w:rPr>
          <w:rFonts w:hint="eastAsia" w:ascii="仿宋_GB2312" w:hAnsi="仿宋_GB2312" w:eastAsia="仿宋_GB2312" w:cs="仿宋_GB2312"/>
          <w:b/>
          <w:bCs/>
          <w:color w:val="auto"/>
          <w:sz w:val="30"/>
          <w:szCs w:val="30"/>
          <w:shd w:val="clear" w:color="auto" w:fill="auto"/>
          <w:lang w:eastAsia="zh-CN"/>
        </w:rPr>
        <w:t>）</w:t>
      </w:r>
      <w:r>
        <w:rPr>
          <w:rFonts w:hint="eastAsia" w:ascii="仿宋_GB2312" w:hAnsi="仿宋_GB2312" w:eastAsia="仿宋_GB2312" w:cs="仿宋_GB2312"/>
          <w:color w:val="auto"/>
          <w:sz w:val="30"/>
          <w:szCs w:val="30"/>
          <w:shd w:val="clear" w:color="auto" w:fill="auto"/>
        </w:rPr>
        <w:t>到相邻建筑主体外墙</w:t>
      </w:r>
      <w:r>
        <w:rPr>
          <w:rFonts w:hint="eastAsia" w:ascii="仿宋_GB2312" w:hAnsi="仿宋_GB2312" w:eastAsia="仿宋_GB2312" w:cs="仿宋_GB2312"/>
          <w:b/>
          <w:bCs/>
          <w:color w:val="auto"/>
          <w:sz w:val="30"/>
          <w:szCs w:val="30"/>
          <w:shd w:val="clear" w:color="auto" w:fill="auto"/>
        </w:rPr>
        <w:t>轴线</w:t>
      </w:r>
      <w:r>
        <w:rPr>
          <w:rFonts w:hint="eastAsia" w:ascii="仿宋_GB2312" w:hAnsi="仿宋_GB2312" w:eastAsia="仿宋_GB2312" w:cs="仿宋_GB2312"/>
          <w:b/>
          <w:bCs/>
          <w:color w:val="auto"/>
          <w:sz w:val="30"/>
          <w:szCs w:val="30"/>
          <w:shd w:val="clear" w:color="auto" w:fill="auto"/>
          <w:lang w:eastAsia="zh-CN"/>
        </w:rPr>
        <w:t>（</w:t>
      </w:r>
      <w:r>
        <w:rPr>
          <w:rFonts w:hint="eastAsia" w:ascii="仿宋_GB2312" w:hAnsi="仿宋_GB2312" w:eastAsia="仿宋_GB2312" w:cs="仿宋_GB2312"/>
          <w:b/>
          <w:bCs/>
          <w:color w:val="auto"/>
          <w:sz w:val="30"/>
          <w:szCs w:val="30"/>
          <w:shd w:val="clear" w:color="auto" w:fill="auto"/>
          <w:lang w:val="en-US" w:eastAsia="zh-CN"/>
        </w:rPr>
        <w:t>边线</w:t>
      </w:r>
      <w:r>
        <w:rPr>
          <w:rFonts w:hint="eastAsia" w:ascii="仿宋_GB2312" w:hAnsi="仿宋_GB2312" w:eastAsia="仿宋_GB2312" w:cs="仿宋_GB2312"/>
          <w:b/>
          <w:bCs/>
          <w:color w:val="auto"/>
          <w:sz w:val="30"/>
          <w:szCs w:val="30"/>
          <w:shd w:val="clear" w:color="auto" w:fill="auto"/>
          <w:lang w:eastAsia="zh-CN"/>
        </w:rPr>
        <w:t>）</w:t>
      </w:r>
      <w:r>
        <w:rPr>
          <w:rFonts w:hint="eastAsia" w:ascii="仿宋_GB2312" w:hAnsi="仿宋_GB2312" w:eastAsia="仿宋_GB2312" w:cs="仿宋_GB2312"/>
          <w:color w:val="auto"/>
          <w:sz w:val="30"/>
          <w:szCs w:val="30"/>
          <w:shd w:val="clear" w:color="auto" w:fill="auto"/>
        </w:rPr>
        <w:t>的最近距离。</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六</w:t>
      </w:r>
      <w:r>
        <w:rPr>
          <w:rFonts w:hint="eastAsia" w:ascii="仿宋_GB2312" w:hAnsi="仿宋_GB2312" w:eastAsia="仿宋_GB2312" w:cs="仿宋_GB2312"/>
          <w:color w:val="auto"/>
          <w:sz w:val="30"/>
          <w:szCs w:val="30"/>
          <w:shd w:val="clear" w:color="auto" w:fill="auto"/>
        </w:rPr>
        <w:t>、</w:t>
      </w:r>
      <w:r>
        <w:rPr>
          <w:rFonts w:hint="eastAsia" w:ascii="仿宋_GB2312" w:hAnsi="仿宋_GB2312" w:eastAsia="仿宋_GB2312" w:cs="仿宋_GB2312"/>
          <w:color w:val="auto"/>
          <w:sz w:val="30"/>
          <w:szCs w:val="30"/>
          <w:shd w:val="clear" w:color="auto" w:fill="auto"/>
          <w:lang w:val="en-US" w:eastAsia="zh-CN"/>
        </w:rPr>
        <w:t>建筑控制线：是指建筑物基底位置的控制线。</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七</w:t>
      </w:r>
      <w:r>
        <w:rPr>
          <w:rFonts w:hint="eastAsia" w:ascii="仿宋_GB2312" w:hAnsi="仿宋_GB2312" w:eastAsia="仿宋_GB2312" w:cs="仿宋_GB2312"/>
          <w:color w:val="auto"/>
          <w:sz w:val="30"/>
          <w:szCs w:val="30"/>
          <w:shd w:val="clear" w:color="auto" w:fill="auto"/>
        </w:rPr>
        <w:t>、房屋纵墙：条式布置的建筑外墙中长边所在的外墙面。</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八</w:t>
      </w:r>
      <w:r>
        <w:rPr>
          <w:rFonts w:hint="eastAsia" w:ascii="仿宋_GB2312" w:hAnsi="仿宋_GB2312" w:eastAsia="仿宋_GB2312" w:cs="仿宋_GB2312"/>
          <w:color w:val="auto"/>
          <w:sz w:val="30"/>
          <w:szCs w:val="30"/>
          <w:shd w:val="clear" w:color="auto" w:fill="auto"/>
        </w:rPr>
        <w:t>、房屋山墙：条式布置的建筑外墙中短边所在的外墙面。</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rPr>
        <w:t>十</w:t>
      </w:r>
      <w:r>
        <w:rPr>
          <w:rFonts w:hint="eastAsia" w:ascii="仿宋_GB2312" w:hAnsi="仿宋_GB2312" w:eastAsia="仿宋_GB2312" w:cs="仿宋_GB2312"/>
          <w:color w:val="auto"/>
          <w:sz w:val="30"/>
          <w:szCs w:val="30"/>
          <w:shd w:val="clear" w:color="auto" w:fill="auto"/>
          <w:lang w:eastAsia="zh-CN"/>
        </w:rPr>
        <w:t>九</w:t>
      </w:r>
      <w:r>
        <w:rPr>
          <w:rFonts w:hint="eastAsia" w:ascii="仿宋_GB2312" w:hAnsi="仿宋_GB2312" w:eastAsia="仿宋_GB2312" w:cs="仿宋_GB2312"/>
          <w:color w:val="auto"/>
          <w:sz w:val="30"/>
          <w:szCs w:val="30"/>
          <w:shd w:val="clear" w:color="auto" w:fill="auto"/>
        </w:rPr>
        <w:t>、女儿墙：建筑屋面外围起防护或装饰作用的墙体。</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二十</w:t>
      </w:r>
      <w:r>
        <w:rPr>
          <w:rFonts w:hint="eastAsia" w:ascii="仿宋_GB2312" w:hAnsi="仿宋_GB2312" w:eastAsia="仿宋_GB2312" w:cs="仿宋_GB2312"/>
          <w:color w:val="auto"/>
          <w:sz w:val="30"/>
          <w:szCs w:val="30"/>
          <w:shd w:val="clear" w:color="auto" w:fill="auto"/>
        </w:rPr>
        <w:t>、地下室：房间地面低于室外设计地面的平均高度超过该房间净高1/2的建筑物。</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二十一</w:t>
      </w:r>
      <w:r>
        <w:rPr>
          <w:rFonts w:hint="eastAsia" w:ascii="仿宋_GB2312" w:hAnsi="仿宋_GB2312" w:eastAsia="仿宋_GB2312" w:cs="仿宋_GB2312"/>
          <w:color w:val="auto"/>
          <w:sz w:val="30"/>
          <w:szCs w:val="30"/>
          <w:shd w:val="clear" w:color="auto" w:fill="auto"/>
        </w:rPr>
        <w:t>半地下室：房间地面低于室外设计地面的平均高度超过该房间净高的1/3但不超过1/2的建筑物。</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二十二、</w:t>
      </w:r>
      <w:r>
        <w:rPr>
          <w:rFonts w:hint="eastAsia" w:ascii="仿宋_GB2312" w:hAnsi="仿宋_GB2312" w:eastAsia="仿宋_GB2312" w:cs="仿宋_GB2312"/>
          <w:color w:val="auto"/>
          <w:sz w:val="30"/>
          <w:szCs w:val="30"/>
          <w:shd w:val="clear" w:color="auto" w:fill="auto"/>
        </w:rPr>
        <w:t>低层建筑：建筑高度不超过12米的非住宅建筑，或层数不超过三层的住宅建筑。</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二十三、</w:t>
      </w:r>
      <w:r>
        <w:rPr>
          <w:rFonts w:hint="eastAsia" w:ascii="仿宋_GB2312" w:hAnsi="仿宋_GB2312" w:eastAsia="仿宋_GB2312" w:cs="仿宋_GB2312"/>
          <w:color w:val="auto"/>
          <w:sz w:val="30"/>
          <w:szCs w:val="30"/>
          <w:shd w:val="clear" w:color="auto" w:fill="auto"/>
        </w:rPr>
        <w:t>多层建筑：建筑高度不超过27米的住宅建筑和建筑高度不超过24米的非单层厂房、仓库和其他民用建筑。</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eastAsia="zh-CN"/>
        </w:rPr>
        <w:t>二十四、</w:t>
      </w:r>
      <w:r>
        <w:rPr>
          <w:rFonts w:hint="eastAsia" w:ascii="仿宋_GB2312" w:hAnsi="仿宋_GB2312" w:eastAsia="仿宋_GB2312" w:cs="仿宋_GB2312"/>
          <w:color w:val="auto"/>
          <w:sz w:val="30"/>
          <w:szCs w:val="30"/>
          <w:shd w:val="clear" w:color="auto" w:fill="auto"/>
        </w:rPr>
        <w:t>高层建筑</w:t>
      </w:r>
      <w:r>
        <w:rPr>
          <w:rFonts w:hint="eastAsia" w:ascii="仿宋_GB2312" w:hAnsi="仿宋_GB2312" w:eastAsia="仿宋_GB2312" w:cs="仿宋_GB2312"/>
          <w:color w:val="auto"/>
          <w:sz w:val="30"/>
          <w:szCs w:val="30"/>
          <w:shd w:val="clear" w:color="auto" w:fill="auto"/>
          <w:lang w:eastAsia="zh-CN"/>
        </w:rPr>
        <w:t>：建筑高度大于27米的住宅建筑和建筑高度大于24米且不超过100米的非单层厂房、仓库和其他民用建筑。</w:t>
      </w:r>
    </w:p>
    <w:p>
      <w:pPr>
        <w:pStyle w:val="6"/>
        <w:keepNext w:val="0"/>
        <w:keepLines w:val="0"/>
        <w:pageBreakBefore w:val="0"/>
        <w:kinsoku/>
        <w:wordWrap/>
        <w:overflowPunct/>
        <w:topLinePunct w:val="0"/>
        <w:autoSpaceDE/>
        <w:autoSpaceDN/>
        <w:bidi w:val="0"/>
        <w:adjustRightInd/>
        <w:snapToGrid/>
        <w:spacing w:before="0" w:line="360" w:lineRule="auto"/>
        <w:ind w:left="0" w:right="0" w:firstLine="600" w:firstLineChars="200"/>
        <w:jc w:val="both"/>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二十五、</w:t>
      </w:r>
      <w:r>
        <w:rPr>
          <w:rFonts w:hint="eastAsia" w:ascii="仿宋_GB2312" w:hAnsi="仿宋_GB2312" w:eastAsia="仿宋_GB2312" w:cs="仿宋_GB2312"/>
          <w:color w:val="auto"/>
          <w:sz w:val="30"/>
          <w:szCs w:val="30"/>
          <w:shd w:val="clear" w:color="auto" w:fill="auto"/>
        </w:rPr>
        <w:t>超高层建筑</w:t>
      </w:r>
      <w:r>
        <w:rPr>
          <w:rFonts w:hint="eastAsia" w:ascii="仿宋_GB2312" w:hAnsi="仿宋_GB2312" w:eastAsia="仿宋_GB2312" w:cs="仿宋_GB2312"/>
          <w:color w:val="auto"/>
          <w:sz w:val="30"/>
          <w:szCs w:val="30"/>
          <w:shd w:val="clear" w:color="auto" w:fill="auto"/>
          <w:lang w:eastAsia="zh-CN"/>
        </w:rPr>
        <w:t>：</w:t>
      </w:r>
      <w:r>
        <w:rPr>
          <w:rFonts w:hint="eastAsia" w:ascii="仿宋_GB2312" w:hAnsi="仿宋_GB2312" w:eastAsia="仿宋_GB2312" w:cs="仿宋_GB2312"/>
          <w:color w:val="auto"/>
          <w:sz w:val="30"/>
          <w:szCs w:val="30"/>
          <w:shd w:val="clear" w:color="auto" w:fill="auto"/>
        </w:rPr>
        <w:t>建筑高度大于100米的建筑。</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eastAsia="zh-CN"/>
        </w:rPr>
        <w:t>二十六、民用建筑：供人们居住和进行各种公共活动的建筑的总称。</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lang w:eastAsia="zh-CN"/>
        </w:rPr>
      </w:pPr>
      <w:r>
        <w:rPr>
          <w:rFonts w:hint="eastAsia" w:ascii="仿宋_GB2312" w:hAnsi="仿宋_GB2312" w:eastAsia="仿宋_GB2312" w:cs="仿宋_GB2312"/>
          <w:color w:val="auto"/>
          <w:sz w:val="30"/>
          <w:szCs w:val="30"/>
          <w:shd w:val="clear" w:color="auto" w:fill="auto"/>
          <w:lang w:eastAsia="zh-CN"/>
        </w:rPr>
        <w:t>二十七、非民用建筑：泛指民用建筑之外的具有其他使用功能的建筑，包括工业建筑、农业建筑、仓储建筑、军用建筑和其他行业特种建筑等;本规定一般特指以工业性生产为主要使用功能的工业建筑、以物资储备、中转和配送为主要使用功能的仓储物流建筑和工业地产项目建筑。</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right="0" w:rightChars="0" w:firstLine="600" w:firstLineChars="200"/>
        <w:textAlignment w:val="auto"/>
        <w:rPr>
          <w:rFonts w:hint="eastAsia" w:ascii="仿宋_GB2312" w:hAnsi="仿宋_GB2312" w:eastAsia="仿宋_GB2312" w:cs="仿宋_GB2312"/>
          <w:color w:val="auto"/>
          <w:sz w:val="30"/>
          <w:szCs w:val="30"/>
          <w:shd w:val="clear" w:color="auto" w:fill="auto"/>
        </w:rPr>
      </w:pPr>
      <w:r>
        <w:rPr>
          <w:rFonts w:hint="eastAsia" w:ascii="仿宋_GB2312" w:hAnsi="仿宋_GB2312" w:eastAsia="仿宋_GB2312" w:cs="仿宋_GB2312"/>
          <w:color w:val="auto"/>
          <w:sz w:val="30"/>
          <w:szCs w:val="30"/>
          <w:shd w:val="clear" w:color="auto" w:fill="auto"/>
          <w:lang w:eastAsia="zh-CN"/>
        </w:rPr>
        <w:t>二十八</w:t>
      </w:r>
      <w:r>
        <w:rPr>
          <w:rFonts w:hint="eastAsia" w:ascii="仿宋_GB2312" w:hAnsi="仿宋_GB2312" w:eastAsia="仿宋_GB2312" w:cs="仿宋_GB2312"/>
          <w:color w:val="auto"/>
          <w:sz w:val="30"/>
          <w:szCs w:val="30"/>
          <w:shd w:val="clear" w:color="auto" w:fill="auto"/>
        </w:rPr>
        <w:t>、装配式建筑：由预制部品部件在工地装配而成的建筑。</w:t>
      </w:r>
    </w:p>
    <w:p>
      <w:pPr>
        <w:pStyle w:val="11"/>
        <w:keepNext w:val="0"/>
        <w:keepLines w:val="0"/>
        <w:pageBreakBefore w:val="0"/>
        <w:widowControl/>
        <w:numPr>
          <w:ilvl w:val="0"/>
          <w:numId w:val="0"/>
        </w:numPr>
        <w:suppressLineNumbers w:val="0"/>
        <w:shd w:val="clear" w:fill="FFFFFF"/>
        <w:tabs>
          <w:tab w:val="left" w:pos="0"/>
        </w:tabs>
        <w:kinsoku/>
        <w:wordWrap/>
        <w:overflowPunct/>
        <w:topLinePunct w:val="0"/>
        <w:autoSpaceDE/>
        <w:autoSpaceDN/>
        <w:bidi w:val="0"/>
        <w:adjustRightInd/>
        <w:snapToGrid/>
        <w:spacing w:before="0" w:beforeAutospacing="0" w:after="0" w:afterAutospacing="0" w:line="360" w:lineRule="auto"/>
        <w:ind w:left="0" w:leftChars="0" w:right="0" w:rightChars="0" w:firstLine="600" w:firstLineChars="200"/>
        <w:textAlignment w:val="auto"/>
        <w:rPr>
          <w:rFonts w:hint="eastAsia" w:ascii="仿宋_GB2312" w:hAnsi="仿宋_GB2312" w:eastAsia="仿宋_GB2312" w:cs="仿宋_GB2312"/>
          <w:color w:val="auto"/>
          <w:sz w:val="30"/>
          <w:szCs w:val="30"/>
          <w:shd w:val="clear" w:color="auto" w:fill="auto"/>
          <w:lang w:val="en-US" w:eastAsia="zh-CN"/>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47BE7F-F163-438D-A387-27116FC696FA}"/>
  </w:font>
  <w:font w:name="黑体">
    <w:panose1 w:val="02010609060101010101"/>
    <w:charset w:val="86"/>
    <w:family w:val="auto"/>
    <w:pitch w:val="default"/>
    <w:sig w:usb0="800002BF" w:usb1="38CF7CFA" w:usb2="00000016" w:usb3="00000000" w:csb0="00040001" w:csb1="00000000"/>
    <w:embedRegular r:id="rId2" w:fontKey="{E29AAD79-D613-4A8C-B0C8-B13AFB2005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B8BD8B97-00DD-4BDE-8553-E666975184C6}"/>
  </w:font>
  <w:font w:name="方正小标宋_GBK">
    <w:altName w:val="微软雅黑"/>
    <w:panose1 w:val="02000000000000000000"/>
    <w:charset w:val="86"/>
    <w:family w:val="auto"/>
    <w:pitch w:val="default"/>
    <w:sig w:usb0="00000000" w:usb1="00000000" w:usb2="00082016"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embedRegular r:id="rId4" w:fontKey="{65BEB474-A890-4F99-9A63-3F4A71D33A7A}"/>
  </w:font>
  <w:font w:name="方正小标宋简体">
    <w:panose1 w:val="03000509000000000000"/>
    <w:charset w:val="86"/>
    <w:family w:val="script"/>
    <w:pitch w:val="default"/>
    <w:sig w:usb0="00000001" w:usb1="080E0000" w:usb2="00000000" w:usb3="00000000" w:csb0="00040000" w:csb1="00000000"/>
    <w:embedRegular r:id="rId5" w:fontKey="{2AEC94D3-32A0-4689-A914-B401219B76F0}"/>
  </w:font>
  <w:font w:name="仿宋_GB2312">
    <w:panose1 w:val="02010609030101010101"/>
    <w:charset w:val="86"/>
    <w:family w:val="modern"/>
    <w:pitch w:val="default"/>
    <w:sig w:usb0="00000001" w:usb1="080E0000" w:usb2="00000000" w:usb3="00000000" w:csb0="00040000" w:csb1="00000000"/>
    <w:embedRegular r:id="rId6" w:fontKey="{598A91B8-96F2-4DC7-A2FC-FDE1419A91D0}"/>
  </w:font>
  <w:font w:name="方正仿宋_GB2312">
    <w:panose1 w:val="02000000000000000000"/>
    <w:charset w:val="86"/>
    <w:family w:val="auto"/>
    <w:pitch w:val="default"/>
    <w:sig w:usb0="A00002BF" w:usb1="184F6CFA" w:usb2="00000012" w:usb3="00000000" w:csb0="00040001" w:csb1="00000000"/>
    <w:embedRegular r:id="rId7" w:fontKey="{1A3910F9-46E3-4348-885F-C37BD6752EEC}"/>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ind w:left="0"/>
      <w:rPr>
        <w:sz w:val="20"/>
      </w:rPr>
    </w:pPr>
    <w:r>
      <w:rPr>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06705" cy="150495"/>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306705" cy="150495"/>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12</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1.85pt;width:24.15pt;mso-position-horizontal:center;mso-position-horizontal-relative:margin;z-index:251660288;mso-width-relative:page;mso-height-relative:page;" filled="f" stroked="f" coordsize="21600,21600" o:gfxdata="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TxTe1AAAAAMBAAAPAAAAAAAAAAEAIAAAACIA&#10;AABkcnMvZG93bnJldi54bWxQSwECFAAUAAAACACHTuJAvSJIhQ0CAAAEBAAADgAAAAAAAAABACAA&#10;AAAjAQAAZHJzL2Uyb0RvYy54bWxQSwUGAAAAAAYABgBZAQAAogU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107</w:t>
                    </w:r>
                    <w:r>
                      <w:fldChar w:fldCharType="end"/>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107</w:t>
                    </w:r>
                    <w:r>
                      <w:fldChar w:fldCharType="end"/>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107</w:t>
                    </w:r>
                    <w:r>
                      <w:fldChar w:fldCharType="end"/>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404C6"/>
    <w:multiLevelType w:val="singleLevel"/>
    <w:tmpl w:val="86D404C6"/>
    <w:lvl w:ilvl="0" w:tentative="0">
      <w:start w:val="1"/>
      <w:numFmt w:val="decimal"/>
      <w:suff w:val="nothing"/>
      <w:lvlText w:val="%1、"/>
      <w:lvlJc w:val="left"/>
    </w:lvl>
  </w:abstractNum>
  <w:abstractNum w:abstractNumId="1">
    <w:nsid w:val="9F25CB73"/>
    <w:multiLevelType w:val="singleLevel"/>
    <w:tmpl w:val="9F25CB73"/>
    <w:lvl w:ilvl="0" w:tentative="0">
      <w:start w:val="1"/>
      <w:numFmt w:val="decimal"/>
      <w:suff w:val="nothing"/>
      <w:lvlText w:val="%1、"/>
      <w:lvlJc w:val="left"/>
      <w:pPr>
        <w:ind w:left="0" w:firstLine="403"/>
      </w:pPr>
      <w:rPr>
        <w:rFonts w:hint="default"/>
      </w:rPr>
    </w:lvl>
  </w:abstractNum>
  <w:abstractNum w:abstractNumId="2">
    <w:nsid w:val="A8D0BFDC"/>
    <w:multiLevelType w:val="singleLevel"/>
    <w:tmpl w:val="A8D0BFDC"/>
    <w:lvl w:ilvl="0" w:tentative="0">
      <w:start w:val="2"/>
      <w:numFmt w:val="decimal"/>
      <w:suff w:val="nothing"/>
      <w:lvlText w:val="%1、"/>
      <w:lvlJc w:val="left"/>
    </w:lvl>
  </w:abstractNum>
  <w:abstractNum w:abstractNumId="3">
    <w:nsid w:val="E4E29B7C"/>
    <w:multiLevelType w:val="singleLevel"/>
    <w:tmpl w:val="E4E29B7C"/>
    <w:lvl w:ilvl="0" w:tentative="0">
      <w:start w:val="1"/>
      <w:numFmt w:val="decimal"/>
      <w:suff w:val="nothing"/>
      <w:lvlText w:val="%1、"/>
      <w:lvlJc w:val="left"/>
    </w:lvl>
  </w:abstractNum>
  <w:abstractNum w:abstractNumId="4">
    <w:nsid w:val="E6C16791"/>
    <w:multiLevelType w:val="singleLevel"/>
    <w:tmpl w:val="E6C16791"/>
    <w:lvl w:ilvl="0" w:tentative="0">
      <w:start w:val="1"/>
      <w:numFmt w:val="decimal"/>
      <w:suff w:val="nothing"/>
      <w:lvlText w:val="%1、"/>
      <w:lvlJc w:val="left"/>
    </w:lvl>
  </w:abstractNum>
  <w:abstractNum w:abstractNumId="5">
    <w:nsid w:val="FFBCC9E4"/>
    <w:multiLevelType w:val="singleLevel"/>
    <w:tmpl w:val="FFBCC9E4"/>
    <w:lvl w:ilvl="0" w:tentative="0">
      <w:start w:val="1"/>
      <w:numFmt w:val="decimal"/>
      <w:suff w:val="nothing"/>
      <w:lvlText w:val="%1、"/>
      <w:lvlJc w:val="left"/>
    </w:lvl>
  </w:abstractNum>
  <w:abstractNum w:abstractNumId="6">
    <w:nsid w:val="00000006"/>
    <w:multiLevelType w:val="singleLevel"/>
    <w:tmpl w:val="00000006"/>
    <w:lvl w:ilvl="0" w:tentative="0">
      <w:start w:val="1"/>
      <w:numFmt w:val="decimal"/>
      <w:suff w:val="nothing"/>
      <w:lvlText w:val="(%1)"/>
      <w:lvlJc w:val="left"/>
    </w:lvl>
  </w:abstractNum>
  <w:abstractNum w:abstractNumId="7">
    <w:nsid w:val="037FC7FF"/>
    <w:multiLevelType w:val="singleLevel"/>
    <w:tmpl w:val="037FC7FF"/>
    <w:lvl w:ilvl="0" w:tentative="0">
      <w:start w:val="1"/>
      <w:numFmt w:val="decimal"/>
      <w:suff w:val="nothing"/>
      <w:lvlText w:val="%1、"/>
      <w:lvlJc w:val="left"/>
    </w:lvl>
  </w:abstractNum>
  <w:abstractNum w:abstractNumId="8">
    <w:nsid w:val="1EDECF70"/>
    <w:multiLevelType w:val="singleLevel"/>
    <w:tmpl w:val="1EDECF70"/>
    <w:lvl w:ilvl="0" w:tentative="0">
      <w:start w:val="1"/>
      <w:numFmt w:val="decimal"/>
      <w:suff w:val="nothing"/>
      <w:lvlText w:val="（%1）"/>
      <w:lvlJc w:val="left"/>
    </w:lvl>
  </w:abstractNum>
  <w:abstractNum w:abstractNumId="9">
    <w:nsid w:val="23436220"/>
    <w:multiLevelType w:val="singleLevel"/>
    <w:tmpl w:val="23436220"/>
    <w:lvl w:ilvl="0" w:tentative="0">
      <w:start w:val="1"/>
      <w:numFmt w:val="decimal"/>
      <w:suff w:val="nothing"/>
      <w:lvlText w:val="%1、"/>
      <w:lvlJc w:val="left"/>
    </w:lvl>
  </w:abstractNum>
  <w:abstractNum w:abstractNumId="10">
    <w:nsid w:val="2C0377AD"/>
    <w:multiLevelType w:val="singleLevel"/>
    <w:tmpl w:val="2C0377AD"/>
    <w:lvl w:ilvl="0" w:tentative="0">
      <w:start w:val="1"/>
      <w:numFmt w:val="decimal"/>
      <w:lvlText w:val="(%1)"/>
      <w:lvlJc w:val="left"/>
      <w:pPr>
        <w:tabs>
          <w:tab w:val="left" w:pos="312"/>
        </w:tabs>
      </w:pPr>
    </w:lvl>
  </w:abstractNum>
  <w:abstractNum w:abstractNumId="11">
    <w:nsid w:val="2DD47833"/>
    <w:multiLevelType w:val="singleLevel"/>
    <w:tmpl w:val="2DD47833"/>
    <w:lvl w:ilvl="0" w:tentative="0">
      <w:start w:val="2"/>
      <w:numFmt w:val="decimal"/>
      <w:suff w:val="nothing"/>
      <w:lvlText w:val="（%1）"/>
      <w:lvlJc w:val="left"/>
    </w:lvl>
  </w:abstractNum>
  <w:abstractNum w:abstractNumId="12">
    <w:nsid w:val="330A9519"/>
    <w:multiLevelType w:val="singleLevel"/>
    <w:tmpl w:val="330A9519"/>
    <w:lvl w:ilvl="0" w:tentative="0">
      <w:start w:val="1"/>
      <w:numFmt w:val="decimal"/>
      <w:suff w:val="nothing"/>
      <w:lvlText w:val="%1、"/>
      <w:lvlJc w:val="left"/>
    </w:lvl>
  </w:abstractNum>
  <w:abstractNum w:abstractNumId="13">
    <w:nsid w:val="4DDAD080"/>
    <w:multiLevelType w:val="singleLevel"/>
    <w:tmpl w:val="4DDAD080"/>
    <w:lvl w:ilvl="0" w:tentative="0">
      <w:start w:val="1"/>
      <w:numFmt w:val="decimal"/>
      <w:suff w:val="nothing"/>
      <w:lvlText w:val="（%1）"/>
      <w:lvlJc w:val="left"/>
    </w:lvl>
  </w:abstractNum>
  <w:abstractNum w:abstractNumId="14">
    <w:nsid w:val="56CBF0CB"/>
    <w:multiLevelType w:val="singleLevel"/>
    <w:tmpl w:val="56CBF0CB"/>
    <w:lvl w:ilvl="0" w:tentative="0">
      <w:start w:val="1"/>
      <w:numFmt w:val="chineseCounting"/>
      <w:suff w:val="space"/>
      <w:lvlText w:val="第%1章"/>
      <w:lvlJc w:val="left"/>
      <w:rPr>
        <w:rFonts w:hint="eastAsia"/>
      </w:rPr>
    </w:lvl>
  </w:abstractNum>
  <w:abstractNum w:abstractNumId="15">
    <w:nsid w:val="59618CE1"/>
    <w:multiLevelType w:val="multilevel"/>
    <w:tmpl w:val="59618CE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条  "/>
      <w:lvlJc w:val="left"/>
      <w:pPr>
        <w:tabs>
          <w:tab w:val="left" w:pos="0"/>
        </w:tabs>
        <w:ind w:left="30" w:firstLine="402"/>
      </w:pPr>
      <w:rPr>
        <w:rFonts w:hint="eastAsia" w:ascii="仿宋" w:hAnsi="仿宋" w:eastAsia="仿宋" w:cs="仿宋"/>
        <w:b/>
        <w:bCs/>
        <w:sz w:val="30"/>
        <w:szCs w:val="30"/>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6">
    <w:nsid w:val="5B2E6FAA"/>
    <w:multiLevelType w:val="singleLevel"/>
    <w:tmpl w:val="5B2E6FAA"/>
    <w:lvl w:ilvl="0" w:tentative="0">
      <w:start w:val="1"/>
      <w:numFmt w:val="decimal"/>
      <w:suff w:val="nothing"/>
      <w:lvlText w:val="%1、"/>
      <w:lvlJc w:val="left"/>
    </w:lvl>
  </w:abstractNum>
  <w:abstractNum w:abstractNumId="17">
    <w:nsid w:val="62C68177"/>
    <w:multiLevelType w:val="singleLevel"/>
    <w:tmpl w:val="62C68177"/>
    <w:lvl w:ilvl="0" w:tentative="0">
      <w:start w:val="1"/>
      <w:numFmt w:val="decimal"/>
      <w:lvlText w:val="(%1)"/>
      <w:lvlJc w:val="left"/>
      <w:pPr>
        <w:tabs>
          <w:tab w:val="left" w:pos="312"/>
        </w:tabs>
      </w:pPr>
    </w:lvl>
  </w:abstractNum>
  <w:abstractNum w:abstractNumId="18">
    <w:nsid w:val="68DDCDED"/>
    <w:multiLevelType w:val="singleLevel"/>
    <w:tmpl w:val="68DDCDED"/>
    <w:lvl w:ilvl="0" w:tentative="0">
      <w:start w:val="1"/>
      <w:numFmt w:val="decimal"/>
      <w:suff w:val="nothing"/>
      <w:lvlText w:val="（%1）"/>
      <w:lvlJc w:val="left"/>
    </w:lvl>
  </w:abstractNum>
  <w:abstractNum w:abstractNumId="19">
    <w:nsid w:val="73A67805"/>
    <w:multiLevelType w:val="multilevel"/>
    <w:tmpl w:val="73A67805"/>
    <w:lvl w:ilvl="0" w:tentative="0">
      <w:start w:val="1"/>
      <w:numFmt w:val="decimal"/>
      <w:lvlText w:val="%1"/>
      <w:lvlJc w:val="left"/>
      <w:pPr>
        <w:ind w:left="420" w:hanging="420"/>
      </w:pPr>
      <w:rPr>
        <w:rFonts w:hint="eastAsia"/>
        <w:b/>
      </w:rPr>
    </w:lvl>
    <w:lvl w:ilvl="1" w:tentative="0">
      <w:start w:val="1"/>
      <w:numFmt w:val="decimal"/>
      <w:lvlText w:val="%1.%2"/>
      <w:lvlJc w:val="left"/>
      <w:pPr>
        <w:ind w:left="840" w:hanging="420"/>
      </w:pPr>
      <w:rPr>
        <w:rFonts w:hint="eastAsia"/>
      </w:rPr>
    </w:lvl>
    <w:lvl w:ilvl="2" w:tentative="0">
      <w:start w:val="1"/>
      <w:numFmt w:val="decimal"/>
      <w:lvlText w:val="%1.%2.%3"/>
      <w:lvlJc w:val="right"/>
      <w:pPr>
        <w:ind w:left="988" w:hanging="420"/>
      </w:pPr>
      <w:rPr>
        <w:rFonts w:hint="eastAsia"/>
        <w:b/>
        <w:bCs/>
      </w:rPr>
    </w:lvl>
    <w:lvl w:ilvl="3" w:tentative="0">
      <w:start w:val="1"/>
      <w:numFmt w:val="decimal"/>
      <w:pStyle w:val="35"/>
      <w:lvlText w:val="%1.%2.%3.%4"/>
      <w:lvlJc w:val="left"/>
      <w:pPr>
        <w:ind w:left="0" w:firstLine="0"/>
      </w:pPr>
      <w:rPr>
        <w:rFonts w:hint="eastAsia"/>
        <w:b/>
        <w:bCs/>
      </w:rPr>
    </w:lvl>
    <w:lvl w:ilvl="4" w:tentative="0">
      <w:start w:val="1"/>
      <w:numFmt w:val="decimal"/>
      <w:lvlText w:val="%1.%2.%3.%4.%5"/>
      <w:lvlJc w:val="left"/>
      <w:pPr>
        <w:ind w:left="0" w:firstLine="0"/>
      </w:pPr>
      <w:rPr>
        <w:rFonts w:hint="eastAsia"/>
        <w:b/>
        <w:bCs/>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9"/>
  </w:num>
  <w:num w:numId="2">
    <w:abstractNumId w:val="1"/>
  </w:num>
  <w:num w:numId="3">
    <w:abstractNumId w:val="14"/>
  </w:num>
  <w:num w:numId="4">
    <w:abstractNumId w:val="15"/>
  </w:num>
  <w:num w:numId="5">
    <w:abstractNumId w:val="3"/>
  </w:num>
  <w:num w:numId="6">
    <w:abstractNumId w:val="5"/>
  </w:num>
  <w:num w:numId="7">
    <w:abstractNumId w:val="2"/>
  </w:num>
  <w:num w:numId="8">
    <w:abstractNumId w:val="4"/>
  </w:num>
  <w:num w:numId="9">
    <w:abstractNumId w:val="12"/>
  </w:num>
  <w:num w:numId="10">
    <w:abstractNumId w:val="11"/>
  </w:num>
  <w:num w:numId="11">
    <w:abstractNumId w:val="18"/>
  </w:num>
  <w:num w:numId="12">
    <w:abstractNumId w:val="8"/>
  </w:num>
  <w:num w:numId="13">
    <w:abstractNumId w:val="13"/>
  </w:num>
  <w:num w:numId="14">
    <w:abstractNumId w:val="17"/>
  </w:num>
  <w:num w:numId="15">
    <w:abstractNumId w:val="10"/>
  </w:num>
  <w:num w:numId="16">
    <w:abstractNumId w:val="6"/>
  </w:num>
  <w:num w:numId="17">
    <w:abstractNumId w:val="0"/>
  </w:num>
  <w:num w:numId="18">
    <w:abstractNumId w:val="9"/>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1MjIxMGRjNjRiZWNjMDA0YTgzZTcwZDA4MmQzNTkifQ=="/>
    <w:docVar w:name="KSO_WPS_MARK_KEY" w:val="e7231d95-5585-48e9-8368-7732602cfbb3"/>
  </w:docVars>
  <w:rsids>
    <w:rsidRoot w:val="00172A27"/>
    <w:rsid w:val="004B5B13"/>
    <w:rsid w:val="004D1BDB"/>
    <w:rsid w:val="005C6ADC"/>
    <w:rsid w:val="00943232"/>
    <w:rsid w:val="0094548E"/>
    <w:rsid w:val="00A52D92"/>
    <w:rsid w:val="00E36015"/>
    <w:rsid w:val="01241D66"/>
    <w:rsid w:val="018276FB"/>
    <w:rsid w:val="01AF2FD4"/>
    <w:rsid w:val="01EE7C08"/>
    <w:rsid w:val="0216219D"/>
    <w:rsid w:val="022573A2"/>
    <w:rsid w:val="02405F8A"/>
    <w:rsid w:val="02C72B66"/>
    <w:rsid w:val="02E2222A"/>
    <w:rsid w:val="02FD5D4D"/>
    <w:rsid w:val="03087B13"/>
    <w:rsid w:val="03450B98"/>
    <w:rsid w:val="036B7470"/>
    <w:rsid w:val="03AE2822"/>
    <w:rsid w:val="03D96696"/>
    <w:rsid w:val="03F92594"/>
    <w:rsid w:val="0410430D"/>
    <w:rsid w:val="044B7594"/>
    <w:rsid w:val="048B6677"/>
    <w:rsid w:val="04B667CF"/>
    <w:rsid w:val="04CA48BF"/>
    <w:rsid w:val="04D74983"/>
    <w:rsid w:val="04E85D38"/>
    <w:rsid w:val="057C4B92"/>
    <w:rsid w:val="05830C8F"/>
    <w:rsid w:val="05C42F39"/>
    <w:rsid w:val="05F82956"/>
    <w:rsid w:val="0601174C"/>
    <w:rsid w:val="066C6FCD"/>
    <w:rsid w:val="06931C17"/>
    <w:rsid w:val="06CB0262"/>
    <w:rsid w:val="06D94910"/>
    <w:rsid w:val="07474175"/>
    <w:rsid w:val="07740BAF"/>
    <w:rsid w:val="077C5CB6"/>
    <w:rsid w:val="07EC2E3C"/>
    <w:rsid w:val="07F92E63"/>
    <w:rsid w:val="07FE1DA0"/>
    <w:rsid w:val="08344BDB"/>
    <w:rsid w:val="0851119A"/>
    <w:rsid w:val="086B3224"/>
    <w:rsid w:val="0889543A"/>
    <w:rsid w:val="08F80DF3"/>
    <w:rsid w:val="08FD75AE"/>
    <w:rsid w:val="09120680"/>
    <w:rsid w:val="092F1188"/>
    <w:rsid w:val="094F63E6"/>
    <w:rsid w:val="096D028F"/>
    <w:rsid w:val="0975437F"/>
    <w:rsid w:val="09C53944"/>
    <w:rsid w:val="09D038C9"/>
    <w:rsid w:val="09F71998"/>
    <w:rsid w:val="0A2543E3"/>
    <w:rsid w:val="0AE95411"/>
    <w:rsid w:val="0B673708"/>
    <w:rsid w:val="0B8C6653"/>
    <w:rsid w:val="0C2F4575"/>
    <w:rsid w:val="0C600B53"/>
    <w:rsid w:val="0C8614BD"/>
    <w:rsid w:val="0D244DD3"/>
    <w:rsid w:val="0D330BC5"/>
    <w:rsid w:val="0D3B3F1D"/>
    <w:rsid w:val="0D416F91"/>
    <w:rsid w:val="0D59531C"/>
    <w:rsid w:val="0D695B42"/>
    <w:rsid w:val="0D6B0439"/>
    <w:rsid w:val="0DB52D2F"/>
    <w:rsid w:val="0E0D1416"/>
    <w:rsid w:val="0E247709"/>
    <w:rsid w:val="0E601E8E"/>
    <w:rsid w:val="0E736B7C"/>
    <w:rsid w:val="0E736CD5"/>
    <w:rsid w:val="0F261F5C"/>
    <w:rsid w:val="0F5B1CBC"/>
    <w:rsid w:val="0FE845EA"/>
    <w:rsid w:val="10345380"/>
    <w:rsid w:val="103F0FB8"/>
    <w:rsid w:val="1044187D"/>
    <w:rsid w:val="1059412C"/>
    <w:rsid w:val="10945838"/>
    <w:rsid w:val="11230F50"/>
    <w:rsid w:val="11390075"/>
    <w:rsid w:val="11422936"/>
    <w:rsid w:val="11691C6D"/>
    <w:rsid w:val="118E7D16"/>
    <w:rsid w:val="11F823DD"/>
    <w:rsid w:val="126A4A84"/>
    <w:rsid w:val="129F07E4"/>
    <w:rsid w:val="12B55B84"/>
    <w:rsid w:val="12D63289"/>
    <w:rsid w:val="13612C8F"/>
    <w:rsid w:val="13707F73"/>
    <w:rsid w:val="13DF5603"/>
    <w:rsid w:val="13F66B48"/>
    <w:rsid w:val="14382F65"/>
    <w:rsid w:val="143D67CD"/>
    <w:rsid w:val="144F65D9"/>
    <w:rsid w:val="145D29CB"/>
    <w:rsid w:val="14EA425F"/>
    <w:rsid w:val="14F27AD1"/>
    <w:rsid w:val="150300C6"/>
    <w:rsid w:val="15243537"/>
    <w:rsid w:val="15361FA3"/>
    <w:rsid w:val="15453B8B"/>
    <w:rsid w:val="15454AD5"/>
    <w:rsid w:val="15556142"/>
    <w:rsid w:val="15587D3B"/>
    <w:rsid w:val="156862A7"/>
    <w:rsid w:val="157A53B4"/>
    <w:rsid w:val="16083A1F"/>
    <w:rsid w:val="161A0B74"/>
    <w:rsid w:val="162F1B50"/>
    <w:rsid w:val="167275BA"/>
    <w:rsid w:val="16AA3D7D"/>
    <w:rsid w:val="16C567B5"/>
    <w:rsid w:val="16DC22CD"/>
    <w:rsid w:val="16FA13CF"/>
    <w:rsid w:val="1720665E"/>
    <w:rsid w:val="18251A52"/>
    <w:rsid w:val="18386835"/>
    <w:rsid w:val="18C42538"/>
    <w:rsid w:val="18F953B8"/>
    <w:rsid w:val="19625FB6"/>
    <w:rsid w:val="19F45B80"/>
    <w:rsid w:val="1A1F0E4F"/>
    <w:rsid w:val="1A5F124B"/>
    <w:rsid w:val="1ADC25F4"/>
    <w:rsid w:val="1B0859C3"/>
    <w:rsid w:val="1B574618"/>
    <w:rsid w:val="1B5760B0"/>
    <w:rsid w:val="1B621C23"/>
    <w:rsid w:val="1BB824B6"/>
    <w:rsid w:val="1BF607AC"/>
    <w:rsid w:val="1C150C04"/>
    <w:rsid w:val="1C3C08A3"/>
    <w:rsid w:val="1C5F29F0"/>
    <w:rsid w:val="1C8C096F"/>
    <w:rsid w:val="1C923177"/>
    <w:rsid w:val="1C9D31E1"/>
    <w:rsid w:val="1CA218C3"/>
    <w:rsid w:val="1CC83310"/>
    <w:rsid w:val="1CCB5EE5"/>
    <w:rsid w:val="1D2C03FD"/>
    <w:rsid w:val="1D4475A5"/>
    <w:rsid w:val="1D5254AA"/>
    <w:rsid w:val="1D5801D4"/>
    <w:rsid w:val="1DAF36ED"/>
    <w:rsid w:val="1DB377EF"/>
    <w:rsid w:val="1E0D700C"/>
    <w:rsid w:val="1E3D18A3"/>
    <w:rsid w:val="1E417B2A"/>
    <w:rsid w:val="1E5906A7"/>
    <w:rsid w:val="1E5E7A6C"/>
    <w:rsid w:val="1E673D11"/>
    <w:rsid w:val="1E8E22D4"/>
    <w:rsid w:val="1F185E6D"/>
    <w:rsid w:val="1F356A1F"/>
    <w:rsid w:val="1F765A7E"/>
    <w:rsid w:val="1F8D7C46"/>
    <w:rsid w:val="1F8E5386"/>
    <w:rsid w:val="1FD86A8C"/>
    <w:rsid w:val="206F2200"/>
    <w:rsid w:val="209A1C84"/>
    <w:rsid w:val="20D12947"/>
    <w:rsid w:val="20D2061B"/>
    <w:rsid w:val="20E06E5E"/>
    <w:rsid w:val="21004B7F"/>
    <w:rsid w:val="211A2370"/>
    <w:rsid w:val="213D1AC6"/>
    <w:rsid w:val="215F5FD5"/>
    <w:rsid w:val="21633C48"/>
    <w:rsid w:val="21C2179D"/>
    <w:rsid w:val="21E47391"/>
    <w:rsid w:val="2208666C"/>
    <w:rsid w:val="221A3DCA"/>
    <w:rsid w:val="227811E5"/>
    <w:rsid w:val="227B6E3E"/>
    <w:rsid w:val="227D328A"/>
    <w:rsid w:val="229D5917"/>
    <w:rsid w:val="23386ADD"/>
    <w:rsid w:val="234A5AB8"/>
    <w:rsid w:val="23AD47E5"/>
    <w:rsid w:val="243F5C4A"/>
    <w:rsid w:val="245F611A"/>
    <w:rsid w:val="246E33EC"/>
    <w:rsid w:val="247E33FC"/>
    <w:rsid w:val="249A2142"/>
    <w:rsid w:val="249B7305"/>
    <w:rsid w:val="24F77EC0"/>
    <w:rsid w:val="251610A0"/>
    <w:rsid w:val="251A293E"/>
    <w:rsid w:val="25836F36"/>
    <w:rsid w:val="26070023"/>
    <w:rsid w:val="26197C9D"/>
    <w:rsid w:val="263B7010"/>
    <w:rsid w:val="26F251F5"/>
    <w:rsid w:val="26F7412E"/>
    <w:rsid w:val="26FF27BA"/>
    <w:rsid w:val="27046DB7"/>
    <w:rsid w:val="27483CAD"/>
    <w:rsid w:val="276F4634"/>
    <w:rsid w:val="277D5305"/>
    <w:rsid w:val="27982240"/>
    <w:rsid w:val="27A70BA3"/>
    <w:rsid w:val="28150722"/>
    <w:rsid w:val="2821095A"/>
    <w:rsid w:val="285D7189"/>
    <w:rsid w:val="28686AFB"/>
    <w:rsid w:val="2908797F"/>
    <w:rsid w:val="292E0C10"/>
    <w:rsid w:val="29543F45"/>
    <w:rsid w:val="295757E3"/>
    <w:rsid w:val="2976035F"/>
    <w:rsid w:val="29FF71D3"/>
    <w:rsid w:val="2A7141CD"/>
    <w:rsid w:val="2A9134EC"/>
    <w:rsid w:val="2A9634C2"/>
    <w:rsid w:val="2A9C648A"/>
    <w:rsid w:val="2AA36F32"/>
    <w:rsid w:val="2AAF21F1"/>
    <w:rsid w:val="2AF96C08"/>
    <w:rsid w:val="2B585F6F"/>
    <w:rsid w:val="2B5B25B8"/>
    <w:rsid w:val="2B836D64"/>
    <w:rsid w:val="2B8A6344"/>
    <w:rsid w:val="2BB5365F"/>
    <w:rsid w:val="2BBA09D7"/>
    <w:rsid w:val="2BE111A5"/>
    <w:rsid w:val="2BF57C61"/>
    <w:rsid w:val="2C077995"/>
    <w:rsid w:val="2C225647"/>
    <w:rsid w:val="2C2A1E20"/>
    <w:rsid w:val="2C7E0ED2"/>
    <w:rsid w:val="2CB1338F"/>
    <w:rsid w:val="2CD35299"/>
    <w:rsid w:val="2CEF34E4"/>
    <w:rsid w:val="2CF86A2A"/>
    <w:rsid w:val="2D105881"/>
    <w:rsid w:val="2D147704"/>
    <w:rsid w:val="2D4E2080"/>
    <w:rsid w:val="2D622025"/>
    <w:rsid w:val="2DAD00C8"/>
    <w:rsid w:val="2DBA2F11"/>
    <w:rsid w:val="2E027B47"/>
    <w:rsid w:val="2EBF64B9"/>
    <w:rsid w:val="2F0B4192"/>
    <w:rsid w:val="2F1270B9"/>
    <w:rsid w:val="2F266384"/>
    <w:rsid w:val="2F8F6199"/>
    <w:rsid w:val="2FAB4AF9"/>
    <w:rsid w:val="30466CAB"/>
    <w:rsid w:val="304D09A9"/>
    <w:rsid w:val="306265D1"/>
    <w:rsid w:val="30B30F92"/>
    <w:rsid w:val="30B874AF"/>
    <w:rsid w:val="30C77358"/>
    <w:rsid w:val="30F354E0"/>
    <w:rsid w:val="31100FCA"/>
    <w:rsid w:val="31CD5F28"/>
    <w:rsid w:val="323A6D7D"/>
    <w:rsid w:val="32427031"/>
    <w:rsid w:val="32751B8C"/>
    <w:rsid w:val="32A46191"/>
    <w:rsid w:val="32A777DC"/>
    <w:rsid w:val="32AC3044"/>
    <w:rsid w:val="32AD3324"/>
    <w:rsid w:val="32B308DC"/>
    <w:rsid w:val="33231A0A"/>
    <w:rsid w:val="334B58AA"/>
    <w:rsid w:val="33B64797"/>
    <w:rsid w:val="33FF7DD1"/>
    <w:rsid w:val="34430F9E"/>
    <w:rsid w:val="347C419D"/>
    <w:rsid w:val="34C6419B"/>
    <w:rsid w:val="34CF1DAC"/>
    <w:rsid w:val="34E9358D"/>
    <w:rsid w:val="35335761"/>
    <w:rsid w:val="354E4E4E"/>
    <w:rsid w:val="35946FFB"/>
    <w:rsid w:val="35C3647F"/>
    <w:rsid w:val="35E55780"/>
    <w:rsid w:val="35EB19AF"/>
    <w:rsid w:val="367D32AB"/>
    <w:rsid w:val="36940077"/>
    <w:rsid w:val="369938DF"/>
    <w:rsid w:val="369D0DD4"/>
    <w:rsid w:val="36C737F5"/>
    <w:rsid w:val="372E351E"/>
    <w:rsid w:val="3778673F"/>
    <w:rsid w:val="378676DA"/>
    <w:rsid w:val="37A07217"/>
    <w:rsid w:val="37FC2757"/>
    <w:rsid w:val="380D6DA8"/>
    <w:rsid w:val="385B0E4C"/>
    <w:rsid w:val="385F6ACD"/>
    <w:rsid w:val="388C7E77"/>
    <w:rsid w:val="3894435E"/>
    <w:rsid w:val="38DA6172"/>
    <w:rsid w:val="3914512A"/>
    <w:rsid w:val="391B4FD1"/>
    <w:rsid w:val="39260C02"/>
    <w:rsid w:val="39316051"/>
    <w:rsid w:val="395971FE"/>
    <w:rsid w:val="39F06C32"/>
    <w:rsid w:val="3A030DB7"/>
    <w:rsid w:val="3A40479E"/>
    <w:rsid w:val="3A746041"/>
    <w:rsid w:val="3AA46CD1"/>
    <w:rsid w:val="3AC207BE"/>
    <w:rsid w:val="3AD927C2"/>
    <w:rsid w:val="3AE570F3"/>
    <w:rsid w:val="3B555AF2"/>
    <w:rsid w:val="3B5F14D7"/>
    <w:rsid w:val="3B8459F3"/>
    <w:rsid w:val="3BB93A25"/>
    <w:rsid w:val="3BED5491"/>
    <w:rsid w:val="3C096E11"/>
    <w:rsid w:val="3C3F0A85"/>
    <w:rsid w:val="3C502C92"/>
    <w:rsid w:val="3C5C5F01"/>
    <w:rsid w:val="3C742CE8"/>
    <w:rsid w:val="3C89024E"/>
    <w:rsid w:val="3CC33464"/>
    <w:rsid w:val="3D251A29"/>
    <w:rsid w:val="3D2E0F59"/>
    <w:rsid w:val="3D825BEB"/>
    <w:rsid w:val="3D840A17"/>
    <w:rsid w:val="3DA2751D"/>
    <w:rsid w:val="3DE329CA"/>
    <w:rsid w:val="3E8D7925"/>
    <w:rsid w:val="3E974CE9"/>
    <w:rsid w:val="3F382F3A"/>
    <w:rsid w:val="3FA62141"/>
    <w:rsid w:val="3FFE3B99"/>
    <w:rsid w:val="400B0179"/>
    <w:rsid w:val="40B55BB9"/>
    <w:rsid w:val="40B73DBA"/>
    <w:rsid w:val="40BC4BEA"/>
    <w:rsid w:val="40C2377C"/>
    <w:rsid w:val="40EA5463"/>
    <w:rsid w:val="412F7A54"/>
    <w:rsid w:val="415E375B"/>
    <w:rsid w:val="417202E5"/>
    <w:rsid w:val="41C17D83"/>
    <w:rsid w:val="425B5FCC"/>
    <w:rsid w:val="42733A53"/>
    <w:rsid w:val="42774232"/>
    <w:rsid w:val="429C6CDB"/>
    <w:rsid w:val="42AC236A"/>
    <w:rsid w:val="42FB3A6B"/>
    <w:rsid w:val="435723FE"/>
    <w:rsid w:val="4381434B"/>
    <w:rsid w:val="43E02257"/>
    <w:rsid w:val="446B68BB"/>
    <w:rsid w:val="44846D12"/>
    <w:rsid w:val="44A1052F"/>
    <w:rsid w:val="44B15012"/>
    <w:rsid w:val="44F854AA"/>
    <w:rsid w:val="45062140"/>
    <w:rsid w:val="451B117A"/>
    <w:rsid w:val="45302D00"/>
    <w:rsid w:val="45330876"/>
    <w:rsid w:val="459F01D9"/>
    <w:rsid w:val="45E53B08"/>
    <w:rsid w:val="467D30EA"/>
    <w:rsid w:val="46965745"/>
    <w:rsid w:val="469D4D26"/>
    <w:rsid w:val="46A27335"/>
    <w:rsid w:val="46CF35DD"/>
    <w:rsid w:val="47035B60"/>
    <w:rsid w:val="475E7DF6"/>
    <w:rsid w:val="47BF4176"/>
    <w:rsid w:val="48303B74"/>
    <w:rsid w:val="484315B6"/>
    <w:rsid w:val="48B829B6"/>
    <w:rsid w:val="48C122CF"/>
    <w:rsid w:val="48D73DDE"/>
    <w:rsid w:val="49386588"/>
    <w:rsid w:val="49445706"/>
    <w:rsid w:val="498521CD"/>
    <w:rsid w:val="49957F36"/>
    <w:rsid w:val="499B6C2D"/>
    <w:rsid w:val="499E07E8"/>
    <w:rsid w:val="49B961EB"/>
    <w:rsid w:val="49CF0399"/>
    <w:rsid w:val="49D338CB"/>
    <w:rsid w:val="4A8F4769"/>
    <w:rsid w:val="4AAF5028"/>
    <w:rsid w:val="4B1530DD"/>
    <w:rsid w:val="4B2652EA"/>
    <w:rsid w:val="4B6319EC"/>
    <w:rsid w:val="4B9F32EE"/>
    <w:rsid w:val="4BE96317"/>
    <w:rsid w:val="4C336C95"/>
    <w:rsid w:val="4C673E0C"/>
    <w:rsid w:val="4C6C2783"/>
    <w:rsid w:val="4C6F6E0F"/>
    <w:rsid w:val="4C72455F"/>
    <w:rsid w:val="4C7B78B7"/>
    <w:rsid w:val="4C831EDD"/>
    <w:rsid w:val="4CD86AB8"/>
    <w:rsid w:val="4D0E4287"/>
    <w:rsid w:val="4D6245D3"/>
    <w:rsid w:val="4D6E6240"/>
    <w:rsid w:val="4DA41FB1"/>
    <w:rsid w:val="4DB34E2F"/>
    <w:rsid w:val="4E0F2B01"/>
    <w:rsid w:val="4E263853"/>
    <w:rsid w:val="4E883E90"/>
    <w:rsid w:val="4EB35B23"/>
    <w:rsid w:val="4EF937A1"/>
    <w:rsid w:val="4F9525FD"/>
    <w:rsid w:val="4F9F14AB"/>
    <w:rsid w:val="4FCC3F86"/>
    <w:rsid w:val="4FF3680E"/>
    <w:rsid w:val="50017590"/>
    <w:rsid w:val="50992F99"/>
    <w:rsid w:val="50A470A2"/>
    <w:rsid w:val="50D51F98"/>
    <w:rsid w:val="50F10E7F"/>
    <w:rsid w:val="51342CA1"/>
    <w:rsid w:val="5136053C"/>
    <w:rsid w:val="51450C9A"/>
    <w:rsid w:val="514566E6"/>
    <w:rsid w:val="514D1DD3"/>
    <w:rsid w:val="51675E38"/>
    <w:rsid w:val="51952707"/>
    <w:rsid w:val="51D84E64"/>
    <w:rsid w:val="51DB07F1"/>
    <w:rsid w:val="51DC0DF8"/>
    <w:rsid w:val="526F57C8"/>
    <w:rsid w:val="52994D0A"/>
    <w:rsid w:val="52E2243E"/>
    <w:rsid w:val="547C5F7A"/>
    <w:rsid w:val="54AC19C0"/>
    <w:rsid w:val="550075EC"/>
    <w:rsid w:val="5531145B"/>
    <w:rsid w:val="554E3689"/>
    <w:rsid w:val="559C550D"/>
    <w:rsid w:val="55CD2CF8"/>
    <w:rsid w:val="56101070"/>
    <w:rsid w:val="56301712"/>
    <w:rsid w:val="565803C3"/>
    <w:rsid w:val="565E0FEF"/>
    <w:rsid w:val="56921A85"/>
    <w:rsid w:val="56A11FB2"/>
    <w:rsid w:val="56B04601"/>
    <w:rsid w:val="56CA251D"/>
    <w:rsid w:val="577D6659"/>
    <w:rsid w:val="57C65CAE"/>
    <w:rsid w:val="57C92505"/>
    <w:rsid w:val="57DB56AE"/>
    <w:rsid w:val="57FC6C72"/>
    <w:rsid w:val="580716F8"/>
    <w:rsid w:val="581C5541"/>
    <w:rsid w:val="582F699C"/>
    <w:rsid w:val="58816255"/>
    <w:rsid w:val="588518E8"/>
    <w:rsid w:val="58B13598"/>
    <w:rsid w:val="58BD4BE3"/>
    <w:rsid w:val="58EE31BF"/>
    <w:rsid w:val="59C208D3"/>
    <w:rsid w:val="59D619EE"/>
    <w:rsid w:val="59E441CB"/>
    <w:rsid w:val="5A3D321F"/>
    <w:rsid w:val="5A456B63"/>
    <w:rsid w:val="5A601E9A"/>
    <w:rsid w:val="5A6138DE"/>
    <w:rsid w:val="5A671F8B"/>
    <w:rsid w:val="5AE2736D"/>
    <w:rsid w:val="5AED1980"/>
    <w:rsid w:val="5B247667"/>
    <w:rsid w:val="5B3315B3"/>
    <w:rsid w:val="5B727C04"/>
    <w:rsid w:val="5BAF5FA9"/>
    <w:rsid w:val="5C001B87"/>
    <w:rsid w:val="5C110814"/>
    <w:rsid w:val="5C361A94"/>
    <w:rsid w:val="5C41183D"/>
    <w:rsid w:val="5C516089"/>
    <w:rsid w:val="5C9E402C"/>
    <w:rsid w:val="5CA7749E"/>
    <w:rsid w:val="5CAF4F02"/>
    <w:rsid w:val="5CC94770"/>
    <w:rsid w:val="5CFA284C"/>
    <w:rsid w:val="5D014763"/>
    <w:rsid w:val="5D297FFF"/>
    <w:rsid w:val="5D311D3C"/>
    <w:rsid w:val="5D65280A"/>
    <w:rsid w:val="5D925E4F"/>
    <w:rsid w:val="5E09462E"/>
    <w:rsid w:val="5E0A1245"/>
    <w:rsid w:val="5E360964"/>
    <w:rsid w:val="5E3E24F3"/>
    <w:rsid w:val="5E412BD5"/>
    <w:rsid w:val="5E475879"/>
    <w:rsid w:val="5EC319F2"/>
    <w:rsid w:val="5EEC5FAD"/>
    <w:rsid w:val="5F033365"/>
    <w:rsid w:val="5FA80789"/>
    <w:rsid w:val="5FC55CDC"/>
    <w:rsid w:val="5FD749AD"/>
    <w:rsid w:val="5FE55947"/>
    <w:rsid w:val="600F0842"/>
    <w:rsid w:val="602F087B"/>
    <w:rsid w:val="60310561"/>
    <w:rsid w:val="60DD300E"/>
    <w:rsid w:val="60DD4365"/>
    <w:rsid w:val="60E170B6"/>
    <w:rsid w:val="60E73167"/>
    <w:rsid w:val="60F45801"/>
    <w:rsid w:val="60FB2986"/>
    <w:rsid w:val="612B536C"/>
    <w:rsid w:val="6162484F"/>
    <w:rsid w:val="6166248C"/>
    <w:rsid w:val="61960532"/>
    <w:rsid w:val="61F1336C"/>
    <w:rsid w:val="61F66696"/>
    <w:rsid w:val="61FA174D"/>
    <w:rsid w:val="62436329"/>
    <w:rsid w:val="62502908"/>
    <w:rsid w:val="62791D4B"/>
    <w:rsid w:val="628945F4"/>
    <w:rsid w:val="629A3BB6"/>
    <w:rsid w:val="62C453B0"/>
    <w:rsid w:val="62CC4571"/>
    <w:rsid w:val="62F56D0D"/>
    <w:rsid w:val="62FF6B91"/>
    <w:rsid w:val="63C96D02"/>
    <w:rsid w:val="640C62DD"/>
    <w:rsid w:val="64115246"/>
    <w:rsid w:val="64124D31"/>
    <w:rsid w:val="644B36CE"/>
    <w:rsid w:val="647A2C46"/>
    <w:rsid w:val="648F687F"/>
    <w:rsid w:val="649C296D"/>
    <w:rsid w:val="64CD7C78"/>
    <w:rsid w:val="64CE0B72"/>
    <w:rsid w:val="64F16511"/>
    <w:rsid w:val="64F70049"/>
    <w:rsid w:val="655D5954"/>
    <w:rsid w:val="65676401"/>
    <w:rsid w:val="65AB4911"/>
    <w:rsid w:val="65B71508"/>
    <w:rsid w:val="65C854C3"/>
    <w:rsid w:val="66A57C06"/>
    <w:rsid w:val="66B75538"/>
    <w:rsid w:val="67A42010"/>
    <w:rsid w:val="67E22141"/>
    <w:rsid w:val="67F9336C"/>
    <w:rsid w:val="688558EE"/>
    <w:rsid w:val="689C6793"/>
    <w:rsid w:val="696E342C"/>
    <w:rsid w:val="69CC2160"/>
    <w:rsid w:val="69D361E5"/>
    <w:rsid w:val="69F148BD"/>
    <w:rsid w:val="6A072E6E"/>
    <w:rsid w:val="6A1E0DD6"/>
    <w:rsid w:val="6B0F76F1"/>
    <w:rsid w:val="6BD0759B"/>
    <w:rsid w:val="6BDD159D"/>
    <w:rsid w:val="6C7D1B5B"/>
    <w:rsid w:val="6CC23C05"/>
    <w:rsid w:val="6D301BA0"/>
    <w:rsid w:val="6D365409"/>
    <w:rsid w:val="6D5812D3"/>
    <w:rsid w:val="6DBA3F25"/>
    <w:rsid w:val="6DC545C2"/>
    <w:rsid w:val="6DF5610C"/>
    <w:rsid w:val="6E096679"/>
    <w:rsid w:val="6E100CFD"/>
    <w:rsid w:val="6E756A54"/>
    <w:rsid w:val="6EC82385"/>
    <w:rsid w:val="6ECD5D4C"/>
    <w:rsid w:val="6F771567"/>
    <w:rsid w:val="6FA3752A"/>
    <w:rsid w:val="70141DDF"/>
    <w:rsid w:val="701B2694"/>
    <w:rsid w:val="70275CF9"/>
    <w:rsid w:val="703942B6"/>
    <w:rsid w:val="70531E2E"/>
    <w:rsid w:val="7089584F"/>
    <w:rsid w:val="70DC0EC0"/>
    <w:rsid w:val="70DF2EA4"/>
    <w:rsid w:val="725F5851"/>
    <w:rsid w:val="72630EE2"/>
    <w:rsid w:val="72976A9F"/>
    <w:rsid w:val="72DF6B7C"/>
    <w:rsid w:val="72E24029"/>
    <w:rsid w:val="72EC51B3"/>
    <w:rsid w:val="72EE7BC8"/>
    <w:rsid w:val="73357976"/>
    <w:rsid w:val="737629FD"/>
    <w:rsid w:val="73A0137D"/>
    <w:rsid w:val="73A02274"/>
    <w:rsid w:val="740638AF"/>
    <w:rsid w:val="74296F20"/>
    <w:rsid w:val="74744A68"/>
    <w:rsid w:val="74806F69"/>
    <w:rsid w:val="75097E5E"/>
    <w:rsid w:val="75381956"/>
    <w:rsid w:val="75484ADB"/>
    <w:rsid w:val="75E848AF"/>
    <w:rsid w:val="75F45E61"/>
    <w:rsid w:val="766528BB"/>
    <w:rsid w:val="76B16BF0"/>
    <w:rsid w:val="76BC2992"/>
    <w:rsid w:val="76F16E91"/>
    <w:rsid w:val="771B2C2D"/>
    <w:rsid w:val="771F0CBB"/>
    <w:rsid w:val="772067E2"/>
    <w:rsid w:val="77FD148A"/>
    <w:rsid w:val="788C297D"/>
    <w:rsid w:val="78CB178C"/>
    <w:rsid w:val="78DC460F"/>
    <w:rsid w:val="791C16F2"/>
    <w:rsid w:val="792A3948"/>
    <w:rsid w:val="794C17CC"/>
    <w:rsid w:val="79CE2C3C"/>
    <w:rsid w:val="7A8012E2"/>
    <w:rsid w:val="7A916CA5"/>
    <w:rsid w:val="7AF50549"/>
    <w:rsid w:val="7B03789A"/>
    <w:rsid w:val="7B0C1557"/>
    <w:rsid w:val="7B1434EC"/>
    <w:rsid w:val="7B1B3E90"/>
    <w:rsid w:val="7B5A6766"/>
    <w:rsid w:val="7B8A5DBB"/>
    <w:rsid w:val="7B9F061D"/>
    <w:rsid w:val="7BC640FE"/>
    <w:rsid w:val="7BDA3403"/>
    <w:rsid w:val="7BE339A3"/>
    <w:rsid w:val="7C464AEC"/>
    <w:rsid w:val="7C6D48EF"/>
    <w:rsid w:val="7CA3413D"/>
    <w:rsid w:val="7CB37831"/>
    <w:rsid w:val="7CC36B4B"/>
    <w:rsid w:val="7CF02007"/>
    <w:rsid w:val="7D010252"/>
    <w:rsid w:val="7D055F4E"/>
    <w:rsid w:val="7D195BEB"/>
    <w:rsid w:val="7D1B0177"/>
    <w:rsid w:val="7D5E0064"/>
    <w:rsid w:val="7D676F18"/>
    <w:rsid w:val="7D7714A7"/>
    <w:rsid w:val="7DAD14CF"/>
    <w:rsid w:val="7DAF38C3"/>
    <w:rsid w:val="7DC07555"/>
    <w:rsid w:val="7DD52884"/>
    <w:rsid w:val="7EAE721B"/>
    <w:rsid w:val="7EDC3936"/>
    <w:rsid w:val="7F0D3AEF"/>
    <w:rsid w:val="7F152A98"/>
    <w:rsid w:val="7F1D40D6"/>
    <w:rsid w:val="7F664E74"/>
    <w:rsid w:val="7F7122D0"/>
    <w:rsid w:val="7F765B38"/>
    <w:rsid w:val="7FD42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2"/>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spacing w:before="161"/>
      <w:ind w:left="218"/>
    </w:pPr>
    <w:rPr>
      <w:rFonts w:ascii="宋体" w:hAnsi="宋体" w:eastAsia="宋体" w:cs="宋体"/>
      <w:sz w:val="24"/>
      <w:szCs w:val="24"/>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styleId="17">
    <w:name w:val="Hyperlink"/>
    <w:basedOn w:val="14"/>
    <w:qFormat/>
    <w:uiPriority w:val="0"/>
    <w:rPr>
      <w:color w:val="0000FF"/>
      <w:u w:val="single"/>
    </w:rPr>
  </w:style>
  <w:style w:type="paragraph" w:customStyle="1" w:styleId="18">
    <w:name w:val="Heading1"/>
    <w:basedOn w:val="1"/>
    <w:next w:val="1"/>
    <w:qFormat/>
    <w:uiPriority w:val="99"/>
    <w:pPr>
      <w:keepNext/>
      <w:keepLines/>
      <w:spacing w:before="340" w:after="330"/>
    </w:pPr>
    <w:rPr>
      <w:rFonts w:eastAsia="方正小标宋_GBK"/>
      <w:kern w:val="44"/>
      <w:sz w:val="44"/>
      <w:szCs w:val="44"/>
    </w:rPr>
  </w:style>
  <w:style w:type="paragraph" w:customStyle="1" w:styleId="19">
    <w:name w:val="Table Paragraph"/>
    <w:basedOn w:val="1"/>
    <w:qFormat/>
    <w:uiPriority w:val="1"/>
    <w:pPr>
      <w:spacing w:before="65"/>
    </w:pPr>
    <w:rPr>
      <w:rFonts w:ascii="宋体" w:hAnsi="宋体" w:eastAsia="宋体" w:cs="宋体"/>
      <w:lang w:val="zh-CN" w:eastAsia="zh-CN" w:bidi="zh-CN"/>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character" w:customStyle="1" w:styleId="21">
    <w:name w:val="font01"/>
    <w:basedOn w:val="14"/>
    <w:qFormat/>
    <w:uiPriority w:val="0"/>
    <w:rPr>
      <w:rFonts w:hint="eastAsia" w:ascii="MingLiU" w:hAnsi="MingLiU" w:eastAsia="MingLiU" w:cs="MingLiU"/>
      <w:color w:val="000000"/>
      <w:sz w:val="26"/>
      <w:szCs w:val="26"/>
      <w:u w:val="none"/>
    </w:rPr>
  </w:style>
  <w:style w:type="character" w:customStyle="1" w:styleId="22">
    <w:name w:val="font31"/>
    <w:basedOn w:val="14"/>
    <w:qFormat/>
    <w:uiPriority w:val="0"/>
    <w:rPr>
      <w:rFonts w:hint="eastAsia" w:ascii="MingLiU" w:hAnsi="MingLiU" w:eastAsia="MingLiU" w:cs="MingLiU"/>
      <w:color w:val="000000"/>
      <w:sz w:val="20"/>
      <w:szCs w:val="20"/>
      <w:u w:val="none"/>
    </w:rPr>
  </w:style>
  <w:style w:type="character" w:customStyle="1" w:styleId="23">
    <w:name w:val="font21"/>
    <w:basedOn w:val="14"/>
    <w:qFormat/>
    <w:uiPriority w:val="0"/>
    <w:rPr>
      <w:rFonts w:hint="default" w:ascii="Courier New" w:hAnsi="Courier New" w:cs="Courier New"/>
      <w:b/>
      <w:bCs/>
      <w:color w:val="000000"/>
      <w:sz w:val="14"/>
      <w:szCs w:val="14"/>
      <w:u w:val="none"/>
    </w:rPr>
  </w:style>
  <w:style w:type="paragraph" w:styleId="24">
    <w:name w:val="List Paragraph"/>
    <w:basedOn w:val="1"/>
    <w:qFormat/>
    <w:uiPriority w:val="1"/>
    <w:pPr>
      <w:spacing w:before="1"/>
      <w:ind w:left="438" w:firstLine="620"/>
    </w:pPr>
    <w:rPr>
      <w:rFonts w:ascii="仿宋" w:hAnsi="仿宋" w:eastAsia="仿宋" w:cs="仿宋"/>
      <w:lang w:val="zh-CN" w:eastAsia="zh-CN" w:bidi="zh-CN"/>
    </w:rPr>
  </w:style>
  <w:style w:type="table" w:customStyle="1" w:styleId="25">
    <w:name w:val="Table Normal"/>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26">
    <w:name w:val="Other|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customStyle="1" w:styleId="27">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customStyle="1" w:styleId="28">
    <w:name w:val="Body text|3"/>
    <w:basedOn w:val="1"/>
    <w:qFormat/>
    <w:uiPriority w:val="0"/>
    <w:pPr>
      <w:widowControl w:val="0"/>
      <w:shd w:val="clear" w:color="auto" w:fill="auto"/>
      <w:spacing w:line="310" w:lineRule="auto"/>
      <w:ind w:firstLine="510"/>
    </w:pPr>
    <w:rPr>
      <w:u w:val="none"/>
      <w:shd w:val="clear" w:color="auto" w:fill="auto"/>
    </w:rPr>
  </w:style>
  <w:style w:type="paragraph" w:customStyle="1" w:styleId="29">
    <w:name w:val="列出段落3"/>
    <w:basedOn w:val="1"/>
    <w:qFormat/>
    <w:uiPriority w:val="0"/>
    <w:pPr>
      <w:ind w:firstLine="420" w:firstLineChars="200"/>
    </w:pPr>
  </w:style>
  <w:style w:type="paragraph" w:customStyle="1" w:styleId="30">
    <w:name w:val="List Paragraph2"/>
    <w:basedOn w:val="1"/>
    <w:qFormat/>
    <w:uiPriority w:val="99"/>
    <w:pPr>
      <w:ind w:firstLine="420" w:firstLineChars="200"/>
    </w:pPr>
  </w:style>
  <w:style w:type="paragraph" w:customStyle="1" w:styleId="31">
    <w:name w:val="表格小五"/>
    <w:basedOn w:val="1"/>
    <w:next w:val="1"/>
    <w:qFormat/>
    <w:uiPriority w:val="0"/>
    <w:pPr>
      <w:jc w:val="left"/>
    </w:pPr>
    <w:rPr>
      <w:rFonts w:ascii="Calibri" w:hAnsi="Calibri"/>
      <w:sz w:val="18"/>
    </w:rPr>
  </w:style>
  <w:style w:type="character" w:customStyle="1" w:styleId="32">
    <w:name w:val="标题 1 Char"/>
    <w:link w:val="2"/>
    <w:qFormat/>
    <w:uiPriority w:val="0"/>
    <w:rPr>
      <w:rFonts w:hint="eastAsia" w:ascii="宋体" w:hAnsi="宋体" w:eastAsia="宋体" w:cs="宋体"/>
      <w:b/>
      <w:bCs/>
      <w:kern w:val="44"/>
      <w:sz w:val="48"/>
      <w:szCs w:val="48"/>
      <w:lang w:val="en-US" w:eastAsia="zh-CN" w:bidi="ar"/>
    </w:rPr>
  </w:style>
  <w:style w:type="paragraph" w:customStyle="1" w:styleId="33">
    <w:name w:val="列出段落6"/>
    <w:basedOn w:val="1"/>
    <w:qFormat/>
    <w:uiPriority w:val="0"/>
    <w:pPr>
      <w:ind w:firstLine="420" w:firstLineChars="200"/>
    </w:p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我的正文"/>
    <w:basedOn w:val="1"/>
    <w:qFormat/>
    <w:uiPriority w:val="0"/>
    <w:pPr>
      <w:numPr>
        <w:ilvl w:val="3"/>
        <w:numId w:val="1"/>
      </w:numPr>
      <w:tabs>
        <w:tab w:val="left" w:pos="993"/>
      </w:tabs>
    </w:pPr>
    <w:rPr>
      <w:rFonts w:ascii="宋体" w:hAnsi="宋体"/>
    </w:rPr>
  </w:style>
  <w:style w:type="paragraph" w:customStyle="1" w:styleId="36">
    <w:name w:val="列出段落1"/>
    <w:basedOn w:val="1"/>
    <w:qFormat/>
    <w:uiPriority w:val="99"/>
    <w:pPr>
      <w:spacing w:line="240" w:lineRule="auto"/>
      <w:ind w:firstLine="420" w:firstLineChars="200"/>
    </w:pPr>
    <w:rPr>
      <w:rFonts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61863</Words>
  <Characters>67189</Characters>
  <Lines>0</Lines>
  <Paragraphs>0</Paragraphs>
  <TotalTime>2</TotalTime>
  <ScaleCrop>false</ScaleCrop>
  <LinksUpToDate>false</LinksUpToDate>
  <CharactersWithSpaces>67990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2022-08-29T01:40:00Z</dcterms:created>
  <dc:creator>SunLight</dc:creator>
  <cp:lastModifiedBy>Jinqisheji</cp:lastModifiedBy>
  <dcterms:modified xsi:type="dcterms:W3CDTF">2023-03-16T00:58:40Z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A3D170FB60FB490BB8C5AD8D4DF9EB75</vt:lpwstr>
  </property>
</Properties>
</file>