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5EE27">
      <w:pPr>
        <w:widowControl w:val="0"/>
        <w:jc w:val="center"/>
        <w:rPr>
          <w:rFonts w:hint="eastAsia" w:ascii="仿宋" w:hAnsi="仿宋" w:eastAsia="仿宋" w:cs="仿宋"/>
          <w:b/>
          <w:bCs/>
          <w:sz w:val="28"/>
          <w:szCs w:val="28"/>
        </w:rPr>
      </w:pPr>
      <w:r>
        <w:rPr>
          <w:rFonts w:hint="eastAsia" w:ascii="微软雅黑" w:hAnsi="微软雅黑" w:eastAsia="微软雅黑" w:cs="微软雅黑"/>
          <w:b/>
          <w:bCs/>
          <w:i w:val="0"/>
          <w:iCs w:val="0"/>
          <w:caps w:val="0"/>
          <w:color w:val="333333"/>
          <w:spacing w:val="0"/>
          <w:sz w:val="28"/>
          <w:szCs w:val="28"/>
          <w:shd w:val="clear" w:fill="FFFFFF"/>
          <w:lang w:val="en-US" w:eastAsia="zh-CN"/>
        </w:rPr>
        <w:t>比选评标标准</w:t>
      </w:r>
    </w:p>
    <w:tbl>
      <w:tblPr>
        <w:tblStyle w:val="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05"/>
        <w:gridCol w:w="1020"/>
        <w:gridCol w:w="750"/>
        <w:gridCol w:w="6018"/>
      </w:tblGrid>
      <w:tr w14:paraId="2239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33" w:type="dxa"/>
            <w:noWrap w:val="0"/>
            <w:vAlign w:val="center"/>
          </w:tcPr>
          <w:p w14:paraId="28179742">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125" w:type="dxa"/>
            <w:gridSpan w:val="2"/>
            <w:noWrap w:val="0"/>
            <w:vAlign w:val="center"/>
          </w:tcPr>
          <w:p w14:paraId="0C6263C6">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评分项目</w:t>
            </w:r>
          </w:p>
        </w:tc>
        <w:tc>
          <w:tcPr>
            <w:tcW w:w="750" w:type="dxa"/>
            <w:noWrap w:val="0"/>
            <w:vAlign w:val="center"/>
          </w:tcPr>
          <w:p w14:paraId="25115FE5">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6018" w:type="dxa"/>
            <w:noWrap w:val="0"/>
            <w:vAlign w:val="center"/>
          </w:tcPr>
          <w:p w14:paraId="69EF09B8">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r>
      <w:tr w14:paraId="3DF5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533" w:type="dxa"/>
            <w:noWrap w:val="0"/>
            <w:vAlign w:val="center"/>
          </w:tcPr>
          <w:p w14:paraId="51DC3F42">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25" w:type="dxa"/>
            <w:gridSpan w:val="2"/>
            <w:noWrap w:val="0"/>
            <w:vAlign w:val="center"/>
          </w:tcPr>
          <w:p w14:paraId="7EDB1D76">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p w14:paraId="0AF338B2">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0分）</w:t>
            </w:r>
          </w:p>
        </w:tc>
        <w:tc>
          <w:tcPr>
            <w:tcW w:w="750" w:type="dxa"/>
            <w:noWrap w:val="0"/>
            <w:vAlign w:val="center"/>
          </w:tcPr>
          <w:p w14:paraId="39D23B8A">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0分</w:t>
            </w:r>
          </w:p>
        </w:tc>
        <w:tc>
          <w:tcPr>
            <w:tcW w:w="6018" w:type="dxa"/>
            <w:noWrap w:val="0"/>
            <w:vAlign w:val="center"/>
          </w:tcPr>
          <w:p w14:paraId="5D1E5262">
            <w:pPr>
              <w:widowControl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以经评委会一致认定满足招标文件要求且投标价格最低的投标报价为评标基准价，其价格得分计满分。其他投标人的价格得分统一按公式计算。报价得分＝（评标基准价÷投标报价）×投标报价权重。</w:t>
            </w:r>
          </w:p>
        </w:tc>
      </w:tr>
      <w:tr w14:paraId="17AB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533" w:type="dxa"/>
            <w:vMerge w:val="restart"/>
            <w:noWrap w:val="0"/>
            <w:vAlign w:val="center"/>
          </w:tcPr>
          <w:p w14:paraId="4A14BBC5">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105" w:type="dxa"/>
            <w:vMerge w:val="restart"/>
            <w:noWrap w:val="0"/>
            <w:vAlign w:val="center"/>
          </w:tcPr>
          <w:p w14:paraId="57F76081">
            <w:pPr>
              <w:widowControl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方案</w:t>
            </w:r>
          </w:p>
          <w:p w14:paraId="00C42E74">
            <w:pPr>
              <w:widowControl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（45</w:t>
            </w:r>
            <w:r>
              <w:rPr>
                <w:rFonts w:hint="eastAsia" w:ascii="仿宋" w:hAnsi="仿宋" w:eastAsia="仿宋" w:cs="仿宋"/>
                <w:sz w:val="24"/>
                <w:szCs w:val="24"/>
                <w:highlight w:val="none"/>
              </w:rPr>
              <w:t>分）</w:t>
            </w:r>
          </w:p>
        </w:tc>
        <w:tc>
          <w:tcPr>
            <w:tcW w:w="1020" w:type="dxa"/>
            <w:noWrap w:val="0"/>
            <w:vAlign w:val="center"/>
          </w:tcPr>
          <w:p w14:paraId="1342FB49">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u w:val="none"/>
              </w:rPr>
              <w:t>项目理解与实施</w:t>
            </w:r>
          </w:p>
        </w:tc>
        <w:tc>
          <w:tcPr>
            <w:tcW w:w="750" w:type="dxa"/>
            <w:noWrap w:val="0"/>
            <w:vAlign w:val="center"/>
          </w:tcPr>
          <w:p w14:paraId="4669E232">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u w:val="none"/>
                <w:lang w:val="en-US" w:eastAsia="zh-CN" w:bidi="ar"/>
              </w:rPr>
              <w:t>10</w:t>
            </w:r>
            <w:r>
              <w:rPr>
                <w:rFonts w:hint="eastAsia" w:ascii="仿宋" w:hAnsi="仿宋" w:eastAsia="仿宋" w:cs="仿宋"/>
                <w:color w:val="000000"/>
                <w:sz w:val="24"/>
                <w:szCs w:val="24"/>
                <w:lang w:val="en-US" w:eastAsia="zh-CN"/>
              </w:rPr>
              <w:t>分</w:t>
            </w:r>
          </w:p>
        </w:tc>
        <w:tc>
          <w:tcPr>
            <w:tcW w:w="6018" w:type="dxa"/>
            <w:noWrap w:val="0"/>
            <w:vAlign w:val="center"/>
          </w:tcPr>
          <w:p w14:paraId="48CF5086">
            <w:pPr>
              <w:keepNext w:val="0"/>
              <w:keepLines w:val="0"/>
              <w:widowControl/>
              <w:suppressLineNumbers w:val="0"/>
              <w:jc w:val="left"/>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u w:val="none"/>
              </w:rPr>
              <w:t>根据投标人提供的项目理解</w:t>
            </w:r>
            <w:r>
              <w:rPr>
                <w:rFonts w:hint="eastAsia" w:ascii="仿宋" w:hAnsi="仿宋" w:eastAsia="仿宋" w:cs="仿宋"/>
                <w:i w:val="0"/>
                <w:iCs w:val="0"/>
                <w:color w:val="000000"/>
                <w:sz w:val="24"/>
                <w:szCs w:val="24"/>
                <w:u w:val="none"/>
                <w:lang w:val="en-US" w:eastAsia="zh-CN"/>
              </w:rPr>
              <w:t>与</w:t>
            </w:r>
            <w:r>
              <w:rPr>
                <w:rFonts w:hint="eastAsia" w:ascii="仿宋" w:hAnsi="仿宋" w:eastAsia="仿宋" w:cs="仿宋"/>
                <w:i w:val="0"/>
                <w:iCs w:val="0"/>
                <w:color w:val="000000"/>
                <w:sz w:val="24"/>
                <w:szCs w:val="24"/>
                <w:u w:val="none"/>
              </w:rPr>
              <w:t>实施方案进行横向比较。要求：对该项目理解深刻，项目描述准确，对实施任务、要求的理解把握准确（包含项目背景、项目区域概况、重难点分析、服务范围、成果内容等）。优秀的计</w:t>
            </w: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分，良好的计</w:t>
            </w: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分，一般的计</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分，未提供的不计分。</w:t>
            </w:r>
          </w:p>
        </w:tc>
      </w:tr>
      <w:tr w14:paraId="64C9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533" w:type="dxa"/>
            <w:vMerge w:val="continue"/>
            <w:noWrap w:val="0"/>
            <w:vAlign w:val="center"/>
          </w:tcPr>
          <w:p w14:paraId="677C6548">
            <w:pPr>
              <w:widowControl w:val="0"/>
              <w:jc w:val="both"/>
              <w:rPr>
                <w:rFonts w:hint="eastAsia" w:ascii="仿宋" w:hAnsi="仿宋" w:eastAsia="仿宋" w:cs="仿宋"/>
                <w:sz w:val="24"/>
                <w:szCs w:val="24"/>
                <w:highlight w:val="none"/>
              </w:rPr>
            </w:pPr>
          </w:p>
        </w:tc>
        <w:tc>
          <w:tcPr>
            <w:tcW w:w="1105" w:type="dxa"/>
            <w:vMerge w:val="continue"/>
            <w:noWrap w:val="0"/>
            <w:vAlign w:val="center"/>
          </w:tcPr>
          <w:p w14:paraId="4E2D35C8">
            <w:pPr>
              <w:widowControl w:val="0"/>
              <w:jc w:val="both"/>
              <w:rPr>
                <w:rFonts w:hint="eastAsia" w:ascii="仿宋" w:hAnsi="仿宋" w:eastAsia="仿宋" w:cs="仿宋"/>
                <w:sz w:val="24"/>
                <w:szCs w:val="24"/>
                <w:highlight w:val="none"/>
              </w:rPr>
            </w:pPr>
          </w:p>
        </w:tc>
        <w:tc>
          <w:tcPr>
            <w:tcW w:w="1020" w:type="dxa"/>
            <w:noWrap w:val="0"/>
            <w:vAlign w:val="center"/>
          </w:tcPr>
          <w:p w14:paraId="4FBB62E3">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u w:val="none"/>
                <w:lang w:val="en-US" w:eastAsia="zh-CN"/>
              </w:rPr>
              <w:t>总体设计方案</w:t>
            </w:r>
          </w:p>
        </w:tc>
        <w:tc>
          <w:tcPr>
            <w:tcW w:w="750" w:type="dxa"/>
            <w:noWrap w:val="0"/>
            <w:vAlign w:val="center"/>
          </w:tcPr>
          <w:p w14:paraId="5207F544">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u w:val="none"/>
                <w:lang w:val="en-US" w:eastAsia="zh-CN" w:bidi="ar"/>
              </w:rPr>
              <w:t>10</w:t>
            </w:r>
            <w:r>
              <w:rPr>
                <w:rFonts w:hint="eastAsia" w:ascii="仿宋" w:hAnsi="仿宋" w:eastAsia="仿宋" w:cs="仿宋"/>
                <w:color w:val="000000"/>
                <w:sz w:val="24"/>
                <w:szCs w:val="24"/>
                <w:lang w:val="en-US" w:eastAsia="zh-CN"/>
              </w:rPr>
              <w:t>分</w:t>
            </w:r>
          </w:p>
        </w:tc>
        <w:tc>
          <w:tcPr>
            <w:tcW w:w="6018" w:type="dxa"/>
            <w:noWrap w:val="0"/>
            <w:vAlign w:val="center"/>
          </w:tcPr>
          <w:p w14:paraId="6ED5F465">
            <w:pPr>
              <w:keepNext w:val="0"/>
              <w:keepLines w:val="0"/>
              <w:widowControl/>
              <w:suppressLineNumbers w:val="0"/>
              <w:jc w:val="left"/>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u w:val="none"/>
              </w:rPr>
              <w:t>根据投标人提供的</w:t>
            </w:r>
            <w:r>
              <w:rPr>
                <w:rFonts w:hint="eastAsia" w:ascii="仿宋" w:hAnsi="仿宋" w:eastAsia="仿宋" w:cs="仿宋"/>
                <w:i w:val="0"/>
                <w:iCs w:val="0"/>
                <w:color w:val="000000"/>
                <w:sz w:val="24"/>
                <w:szCs w:val="24"/>
                <w:u w:val="none"/>
                <w:lang w:val="en-US" w:eastAsia="zh-CN"/>
              </w:rPr>
              <w:t>总体设计</w:t>
            </w:r>
            <w:r>
              <w:rPr>
                <w:rFonts w:hint="eastAsia" w:ascii="仿宋" w:hAnsi="仿宋" w:eastAsia="仿宋" w:cs="仿宋"/>
                <w:i w:val="0"/>
                <w:iCs w:val="0"/>
                <w:color w:val="000000"/>
                <w:sz w:val="24"/>
                <w:szCs w:val="24"/>
                <w:u w:val="none"/>
              </w:rPr>
              <w:t>方案进行横向比较。要求：使用的技术规范符合本地实际，对项目研究的工作思路、方法、技术路线具有可行性和科学性。优秀的计</w:t>
            </w: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分，良好的计</w:t>
            </w:r>
            <w:r>
              <w:rPr>
                <w:rFonts w:hint="eastAsia" w:ascii="仿宋" w:hAnsi="仿宋" w:eastAsia="仿宋" w:cs="仿宋"/>
                <w:i w:val="0"/>
                <w:iCs w:val="0"/>
                <w:color w:val="000000"/>
                <w:sz w:val="24"/>
                <w:szCs w:val="24"/>
                <w:u w:val="none"/>
                <w:lang w:val="en-US" w:eastAsia="zh-CN"/>
              </w:rPr>
              <w:t>6-9</w:t>
            </w:r>
            <w:r>
              <w:rPr>
                <w:rFonts w:hint="eastAsia" w:ascii="仿宋" w:hAnsi="仿宋" w:eastAsia="仿宋" w:cs="仿宋"/>
                <w:i w:val="0"/>
                <w:iCs w:val="0"/>
                <w:color w:val="000000"/>
                <w:sz w:val="24"/>
                <w:szCs w:val="24"/>
                <w:u w:val="none"/>
              </w:rPr>
              <w:t>分，一般的计</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分，未提供的不计分。</w:t>
            </w:r>
          </w:p>
        </w:tc>
      </w:tr>
      <w:tr w14:paraId="46D7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533" w:type="dxa"/>
            <w:vMerge w:val="continue"/>
            <w:noWrap w:val="0"/>
            <w:vAlign w:val="center"/>
          </w:tcPr>
          <w:p w14:paraId="3DBD901E">
            <w:pPr>
              <w:widowControl w:val="0"/>
              <w:jc w:val="both"/>
              <w:rPr>
                <w:rFonts w:hint="eastAsia" w:ascii="仿宋" w:hAnsi="仿宋" w:eastAsia="仿宋" w:cs="仿宋"/>
                <w:sz w:val="24"/>
                <w:szCs w:val="24"/>
                <w:highlight w:val="none"/>
              </w:rPr>
            </w:pPr>
          </w:p>
        </w:tc>
        <w:tc>
          <w:tcPr>
            <w:tcW w:w="1105" w:type="dxa"/>
            <w:vMerge w:val="continue"/>
            <w:noWrap w:val="0"/>
            <w:vAlign w:val="center"/>
          </w:tcPr>
          <w:p w14:paraId="52086F5C">
            <w:pPr>
              <w:widowControl w:val="0"/>
              <w:jc w:val="both"/>
              <w:rPr>
                <w:rFonts w:hint="eastAsia" w:ascii="仿宋" w:hAnsi="仿宋" w:eastAsia="仿宋" w:cs="仿宋"/>
                <w:sz w:val="24"/>
                <w:szCs w:val="24"/>
                <w:highlight w:val="none"/>
              </w:rPr>
            </w:pPr>
          </w:p>
        </w:tc>
        <w:tc>
          <w:tcPr>
            <w:tcW w:w="1020" w:type="dxa"/>
            <w:noWrap w:val="0"/>
            <w:vAlign w:val="center"/>
          </w:tcPr>
          <w:p w14:paraId="38242266">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u w:val="none"/>
              </w:rPr>
              <w:t>进度安排及保障措施</w:t>
            </w:r>
          </w:p>
        </w:tc>
        <w:tc>
          <w:tcPr>
            <w:tcW w:w="750" w:type="dxa"/>
            <w:noWrap w:val="0"/>
            <w:vAlign w:val="center"/>
          </w:tcPr>
          <w:p w14:paraId="7BDFBE7C">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color w:val="000000"/>
                <w:sz w:val="24"/>
                <w:szCs w:val="24"/>
                <w:lang w:val="en-US" w:eastAsia="zh-CN"/>
              </w:rPr>
              <w:t>10分</w:t>
            </w:r>
          </w:p>
        </w:tc>
        <w:tc>
          <w:tcPr>
            <w:tcW w:w="6018" w:type="dxa"/>
            <w:noWrap w:val="0"/>
            <w:vAlign w:val="center"/>
          </w:tcPr>
          <w:p w14:paraId="45C25C3D">
            <w:pPr>
              <w:keepNext w:val="0"/>
              <w:keepLines w:val="0"/>
              <w:widowControl/>
              <w:suppressLineNumbers w:val="0"/>
              <w:jc w:val="left"/>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u w:val="none"/>
              </w:rPr>
              <w:t>根据投标人提供的进度安排及保障措施方案进行横向比较。要求：对项目实施总体的进度安排合理科学，确保项目工期科学可行的保障措施。优秀的计</w:t>
            </w: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分，良好的计</w:t>
            </w:r>
            <w:r>
              <w:rPr>
                <w:rFonts w:hint="eastAsia" w:ascii="仿宋" w:hAnsi="仿宋" w:eastAsia="仿宋" w:cs="仿宋"/>
                <w:i w:val="0"/>
                <w:iCs w:val="0"/>
                <w:color w:val="000000"/>
                <w:sz w:val="24"/>
                <w:szCs w:val="24"/>
                <w:u w:val="none"/>
                <w:lang w:val="en-US" w:eastAsia="zh-CN"/>
              </w:rPr>
              <w:t>6-9</w:t>
            </w:r>
            <w:r>
              <w:rPr>
                <w:rFonts w:hint="eastAsia" w:ascii="仿宋" w:hAnsi="仿宋" w:eastAsia="仿宋" w:cs="仿宋"/>
                <w:i w:val="0"/>
                <w:iCs w:val="0"/>
                <w:color w:val="000000"/>
                <w:sz w:val="24"/>
                <w:szCs w:val="24"/>
                <w:u w:val="none"/>
              </w:rPr>
              <w:t>分，一般的计</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分，未提供的不计分。</w:t>
            </w:r>
          </w:p>
        </w:tc>
      </w:tr>
      <w:tr w14:paraId="236D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33" w:type="dxa"/>
            <w:vMerge w:val="continue"/>
            <w:noWrap w:val="0"/>
            <w:vAlign w:val="center"/>
          </w:tcPr>
          <w:p w14:paraId="443CCF40">
            <w:pPr>
              <w:widowControl w:val="0"/>
              <w:jc w:val="both"/>
              <w:rPr>
                <w:rFonts w:hint="eastAsia" w:ascii="仿宋" w:hAnsi="仿宋" w:eastAsia="仿宋" w:cs="仿宋"/>
                <w:sz w:val="24"/>
                <w:szCs w:val="24"/>
                <w:highlight w:val="none"/>
              </w:rPr>
            </w:pPr>
          </w:p>
        </w:tc>
        <w:tc>
          <w:tcPr>
            <w:tcW w:w="1105" w:type="dxa"/>
            <w:vMerge w:val="continue"/>
            <w:noWrap w:val="0"/>
            <w:vAlign w:val="center"/>
          </w:tcPr>
          <w:p w14:paraId="3AE68679">
            <w:pPr>
              <w:widowControl w:val="0"/>
              <w:jc w:val="both"/>
              <w:rPr>
                <w:rFonts w:hint="eastAsia" w:ascii="仿宋" w:hAnsi="仿宋" w:eastAsia="仿宋" w:cs="仿宋"/>
                <w:sz w:val="24"/>
                <w:szCs w:val="24"/>
                <w:highlight w:val="none"/>
              </w:rPr>
            </w:pPr>
          </w:p>
        </w:tc>
        <w:tc>
          <w:tcPr>
            <w:tcW w:w="1020" w:type="dxa"/>
            <w:noWrap w:val="0"/>
            <w:vAlign w:val="center"/>
          </w:tcPr>
          <w:p w14:paraId="626852E9">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u w:val="none"/>
              </w:rPr>
              <w:t>安全及质量保证措施</w:t>
            </w:r>
          </w:p>
        </w:tc>
        <w:tc>
          <w:tcPr>
            <w:tcW w:w="750" w:type="dxa"/>
            <w:noWrap w:val="0"/>
            <w:vAlign w:val="center"/>
          </w:tcPr>
          <w:p w14:paraId="375CDDA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lang w:val="en-US" w:eastAsia="zh-CN"/>
              </w:rPr>
              <w:t>10分</w:t>
            </w:r>
          </w:p>
        </w:tc>
        <w:tc>
          <w:tcPr>
            <w:tcW w:w="6018" w:type="dxa"/>
            <w:noWrap w:val="0"/>
            <w:vAlign w:val="center"/>
          </w:tcPr>
          <w:p w14:paraId="26FD0CCE">
            <w:pPr>
              <w:keepNext w:val="0"/>
              <w:keepLines w:val="0"/>
              <w:widowControl/>
              <w:suppressLineNumbers w:val="0"/>
              <w:jc w:val="left"/>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u w:val="none"/>
              </w:rPr>
              <w:t>根据投标人提供的安全及质量保证措施方案进行横向比较。要求：安全及质量保证方案有效、周密、可操作性符合本地实际情况。优秀的计</w:t>
            </w: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分，良好的计</w:t>
            </w:r>
            <w:r>
              <w:rPr>
                <w:rFonts w:hint="eastAsia" w:ascii="仿宋" w:hAnsi="仿宋" w:eastAsia="仿宋" w:cs="仿宋"/>
                <w:i w:val="0"/>
                <w:iCs w:val="0"/>
                <w:color w:val="000000"/>
                <w:sz w:val="24"/>
                <w:szCs w:val="24"/>
                <w:u w:val="none"/>
                <w:lang w:val="en-US" w:eastAsia="zh-CN"/>
              </w:rPr>
              <w:t>6-9</w:t>
            </w:r>
            <w:r>
              <w:rPr>
                <w:rFonts w:hint="eastAsia" w:ascii="仿宋" w:hAnsi="仿宋" w:eastAsia="仿宋" w:cs="仿宋"/>
                <w:i w:val="0"/>
                <w:iCs w:val="0"/>
                <w:color w:val="000000"/>
                <w:sz w:val="24"/>
                <w:szCs w:val="24"/>
                <w:u w:val="none"/>
              </w:rPr>
              <w:t>分，一般的计</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分，未提供的不计分。</w:t>
            </w:r>
          </w:p>
        </w:tc>
      </w:tr>
      <w:tr w14:paraId="1218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33" w:type="dxa"/>
            <w:vMerge w:val="continue"/>
            <w:noWrap w:val="0"/>
            <w:vAlign w:val="center"/>
          </w:tcPr>
          <w:p w14:paraId="5041D30F">
            <w:pPr>
              <w:widowControl w:val="0"/>
              <w:jc w:val="both"/>
              <w:rPr>
                <w:rFonts w:hint="eastAsia" w:ascii="仿宋" w:hAnsi="仿宋" w:eastAsia="仿宋" w:cs="仿宋"/>
                <w:sz w:val="24"/>
                <w:szCs w:val="24"/>
                <w:highlight w:val="none"/>
              </w:rPr>
            </w:pPr>
          </w:p>
        </w:tc>
        <w:tc>
          <w:tcPr>
            <w:tcW w:w="1105" w:type="dxa"/>
            <w:vMerge w:val="continue"/>
            <w:noWrap w:val="0"/>
            <w:vAlign w:val="center"/>
          </w:tcPr>
          <w:p w14:paraId="3B41EAEC">
            <w:pPr>
              <w:widowControl w:val="0"/>
              <w:jc w:val="both"/>
              <w:rPr>
                <w:rFonts w:hint="eastAsia" w:ascii="仿宋" w:hAnsi="仿宋" w:eastAsia="仿宋" w:cs="仿宋"/>
                <w:sz w:val="24"/>
                <w:szCs w:val="24"/>
                <w:highlight w:val="none"/>
              </w:rPr>
            </w:pPr>
          </w:p>
        </w:tc>
        <w:tc>
          <w:tcPr>
            <w:tcW w:w="1020" w:type="dxa"/>
            <w:noWrap w:val="0"/>
            <w:vAlign w:val="center"/>
          </w:tcPr>
          <w:p w14:paraId="30B81593">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rPr>
              <w:t>后续服务的安排及保证措施</w:t>
            </w:r>
          </w:p>
        </w:tc>
        <w:tc>
          <w:tcPr>
            <w:tcW w:w="750" w:type="dxa"/>
            <w:noWrap w:val="0"/>
            <w:vAlign w:val="center"/>
          </w:tcPr>
          <w:p w14:paraId="676156BA">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u w:val="none"/>
                <w:lang w:val="en-US" w:eastAsia="zh-CN" w:bidi="ar"/>
              </w:rPr>
              <w:t>5</w:t>
            </w:r>
            <w:r>
              <w:rPr>
                <w:rFonts w:hint="eastAsia" w:ascii="仿宋" w:hAnsi="仿宋" w:eastAsia="仿宋" w:cs="仿宋"/>
                <w:color w:val="000000"/>
                <w:sz w:val="24"/>
                <w:szCs w:val="24"/>
                <w:lang w:val="en-US" w:eastAsia="zh-CN"/>
              </w:rPr>
              <w:t>分</w:t>
            </w:r>
          </w:p>
        </w:tc>
        <w:tc>
          <w:tcPr>
            <w:tcW w:w="6018" w:type="dxa"/>
            <w:noWrap w:val="0"/>
            <w:vAlign w:val="center"/>
          </w:tcPr>
          <w:p w14:paraId="6C8D399C">
            <w:pPr>
              <w:keepNext w:val="0"/>
              <w:keepLines w:val="0"/>
              <w:widowControl/>
              <w:suppressLineNumbers w:val="0"/>
              <w:jc w:val="left"/>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u w:val="none"/>
              </w:rPr>
              <w:t>根据投标人提供的</w:t>
            </w:r>
            <w:r>
              <w:rPr>
                <w:rFonts w:hint="eastAsia" w:ascii="仿宋" w:hAnsi="仿宋" w:eastAsia="仿宋" w:cs="仿宋"/>
                <w:i w:val="0"/>
                <w:iCs w:val="0"/>
                <w:color w:val="000000"/>
                <w:sz w:val="24"/>
                <w:szCs w:val="24"/>
                <w:u w:val="none"/>
                <w:lang w:val="en-US" w:eastAsia="zh-CN"/>
              </w:rPr>
              <w:t>后续</w:t>
            </w:r>
            <w:r>
              <w:rPr>
                <w:rFonts w:hint="eastAsia" w:ascii="仿宋" w:hAnsi="仿宋" w:eastAsia="仿宋" w:cs="仿宋"/>
                <w:i w:val="0"/>
                <w:iCs w:val="0"/>
                <w:color w:val="000000"/>
                <w:sz w:val="24"/>
                <w:szCs w:val="24"/>
                <w:u w:val="none"/>
              </w:rPr>
              <w:t>服务方案进行横向比较。要求：在合同履行过程中为采购人提供的后期的技术指导</w:t>
            </w:r>
            <w:r>
              <w:rPr>
                <w:rFonts w:hint="eastAsia" w:ascii="仿宋" w:hAnsi="仿宋" w:eastAsia="仿宋" w:cs="仿宋"/>
                <w:i w:val="0"/>
                <w:iCs w:val="0"/>
                <w:color w:val="000000"/>
                <w:sz w:val="24"/>
                <w:szCs w:val="24"/>
                <w:u w:val="none"/>
                <w:lang w:val="en-US" w:eastAsia="zh-CN"/>
              </w:rPr>
              <w:t>及保证措施</w:t>
            </w:r>
            <w:r>
              <w:rPr>
                <w:rFonts w:hint="eastAsia" w:ascii="仿宋" w:hAnsi="仿宋" w:eastAsia="仿宋" w:cs="仿宋"/>
                <w:i w:val="0"/>
                <w:iCs w:val="0"/>
                <w:color w:val="000000"/>
                <w:sz w:val="24"/>
                <w:szCs w:val="24"/>
                <w:u w:val="none"/>
              </w:rPr>
              <w:t>。优秀的计</w:t>
            </w: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分，良好的计3</w:t>
            </w: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分，一般的计2分，未提供的不计分。</w:t>
            </w:r>
          </w:p>
        </w:tc>
      </w:tr>
      <w:tr w14:paraId="720F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33" w:type="dxa"/>
            <w:vMerge w:val="restart"/>
            <w:noWrap w:val="0"/>
            <w:vAlign w:val="center"/>
          </w:tcPr>
          <w:p w14:paraId="1020B6DD">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105" w:type="dxa"/>
            <w:vMerge w:val="restart"/>
            <w:noWrap w:val="0"/>
            <w:vAlign w:val="center"/>
          </w:tcPr>
          <w:p w14:paraId="6A869E11">
            <w:pPr>
              <w:widowControl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综合实力</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45</w:t>
            </w:r>
            <w:r>
              <w:rPr>
                <w:rFonts w:hint="eastAsia" w:ascii="仿宋" w:hAnsi="仿宋" w:eastAsia="仿宋" w:cs="仿宋"/>
                <w:sz w:val="24"/>
                <w:szCs w:val="24"/>
                <w:highlight w:val="none"/>
              </w:rPr>
              <w:t>分）</w:t>
            </w:r>
          </w:p>
        </w:tc>
        <w:tc>
          <w:tcPr>
            <w:tcW w:w="1020" w:type="dxa"/>
            <w:noWrap w:val="0"/>
            <w:vAlign w:val="center"/>
          </w:tcPr>
          <w:p w14:paraId="25E0B5A5">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ru-RU"/>
              </w:rPr>
              <w:t>业绩案例</w:t>
            </w:r>
          </w:p>
        </w:tc>
        <w:tc>
          <w:tcPr>
            <w:tcW w:w="750" w:type="dxa"/>
            <w:noWrap w:val="0"/>
            <w:vAlign w:val="center"/>
          </w:tcPr>
          <w:p w14:paraId="16BB37D1">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6018" w:type="dxa"/>
            <w:noWrap w:val="0"/>
            <w:vAlign w:val="center"/>
          </w:tcPr>
          <w:p w14:paraId="7761C99A">
            <w:pPr>
              <w:widowControl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2022年以来</w:t>
            </w:r>
            <w:r>
              <w:rPr>
                <w:rFonts w:hint="eastAsia" w:ascii="仿宋" w:hAnsi="仿宋" w:eastAsia="仿宋" w:cs="仿宋"/>
                <w:sz w:val="24"/>
                <w:szCs w:val="24"/>
                <w:highlight w:val="none"/>
              </w:rPr>
              <w:t>投标人具有</w:t>
            </w:r>
            <w:r>
              <w:rPr>
                <w:rFonts w:hint="eastAsia" w:ascii="仿宋" w:hAnsi="仿宋" w:eastAsia="仿宋" w:cs="仿宋"/>
                <w:sz w:val="24"/>
                <w:szCs w:val="24"/>
                <w:highlight w:val="none"/>
                <w:lang w:val="en-US" w:eastAsia="zh-CN"/>
              </w:rPr>
              <w:t>自然资源督察执法、永久基本农田储备区划定工作、耕地资源质量分类年度更新与监测工作、耕地恢复工作、年度国土变更调查工作、耕地后备资源调查和标注“恢复属性”地类分析评价工作等相关业绩的</w:t>
            </w:r>
            <w:r>
              <w:rPr>
                <w:rFonts w:hint="eastAsia" w:ascii="仿宋" w:hAnsi="仿宋" w:eastAsia="仿宋" w:cs="仿宋"/>
                <w:sz w:val="24"/>
                <w:szCs w:val="24"/>
                <w:highlight w:val="none"/>
              </w:rPr>
              <w:t>，每个得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分，最多计</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p w14:paraId="0209EBF7">
            <w:pPr>
              <w:widowControl w:val="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注：（须提供相关合同复印件且加盖公章、同类型工作业绩不重复计分）</w:t>
            </w:r>
          </w:p>
        </w:tc>
      </w:tr>
      <w:tr w14:paraId="51E2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2" w:hRule="atLeast"/>
          <w:jc w:val="center"/>
        </w:trPr>
        <w:tc>
          <w:tcPr>
            <w:tcW w:w="533" w:type="dxa"/>
            <w:vMerge w:val="continue"/>
            <w:noWrap w:val="0"/>
            <w:vAlign w:val="center"/>
          </w:tcPr>
          <w:p w14:paraId="4041C8D4">
            <w:pPr>
              <w:widowControl w:val="0"/>
              <w:jc w:val="both"/>
              <w:rPr>
                <w:rFonts w:hint="eastAsia" w:ascii="仿宋" w:hAnsi="仿宋" w:eastAsia="仿宋" w:cs="仿宋"/>
                <w:sz w:val="24"/>
                <w:szCs w:val="24"/>
                <w:highlight w:val="none"/>
              </w:rPr>
            </w:pPr>
          </w:p>
        </w:tc>
        <w:tc>
          <w:tcPr>
            <w:tcW w:w="1105" w:type="dxa"/>
            <w:vMerge w:val="continue"/>
            <w:noWrap w:val="0"/>
            <w:vAlign w:val="center"/>
          </w:tcPr>
          <w:p w14:paraId="40241D0B">
            <w:pPr>
              <w:widowControl w:val="0"/>
              <w:jc w:val="both"/>
              <w:rPr>
                <w:rFonts w:hint="eastAsia" w:ascii="仿宋" w:hAnsi="仿宋" w:eastAsia="仿宋" w:cs="仿宋"/>
                <w:sz w:val="24"/>
                <w:szCs w:val="24"/>
                <w:highlight w:val="none"/>
              </w:rPr>
            </w:pPr>
          </w:p>
        </w:tc>
        <w:tc>
          <w:tcPr>
            <w:tcW w:w="1020" w:type="dxa"/>
            <w:noWrap w:val="0"/>
            <w:vAlign w:val="center"/>
          </w:tcPr>
          <w:p w14:paraId="55FF95F6">
            <w:pPr>
              <w:widowControl w:val="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技能和实力</w:t>
            </w:r>
          </w:p>
        </w:tc>
        <w:tc>
          <w:tcPr>
            <w:tcW w:w="750" w:type="dxa"/>
            <w:noWrap w:val="0"/>
            <w:vAlign w:val="center"/>
          </w:tcPr>
          <w:p w14:paraId="7F55A3C9">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w:t>
            </w:r>
          </w:p>
        </w:tc>
        <w:tc>
          <w:tcPr>
            <w:tcW w:w="6018" w:type="dxa"/>
            <w:noWrap w:val="0"/>
            <w:vAlign w:val="center"/>
          </w:tcPr>
          <w:p w14:paraId="1FD30C82">
            <w:pPr>
              <w:widowControl w:val="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1.投标人具有国家高新技术企业证书，且证书在有效期内的，计8分</w:t>
            </w:r>
            <w:r>
              <w:rPr>
                <w:rFonts w:hint="eastAsia" w:ascii="仿宋" w:hAnsi="仿宋" w:eastAsia="仿宋" w:cs="仿宋"/>
                <w:sz w:val="24"/>
                <w:szCs w:val="24"/>
                <w:highlight w:val="none"/>
                <w:lang w:eastAsia="zh-CN"/>
              </w:rPr>
              <w:t>；</w:t>
            </w:r>
          </w:p>
          <w:p w14:paraId="4C186011">
            <w:pPr>
              <w:widowControl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提供高新技术企业证书原件扫描件并加盖投标人公章，否则不计分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p w14:paraId="7D350CA8">
            <w:pPr>
              <w:widowControl w:val="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2.投标人上一年度为市</w:t>
            </w:r>
            <w:r>
              <w:rPr>
                <w:rFonts w:hint="eastAsia" w:ascii="仿宋" w:hAnsi="仿宋" w:eastAsia="仿宋" w:cs="仿宋"/>
                <w:sz w:val="24"/>
                <w:szCs w:val="24"/>
                <w:highlight w:val="none"/>
                <w:lang w:val="en-US" w:eastAsia="zh-CN"/>
              </w:rPr>
              <w:t>州</w:t>
            </w:r>
            <w:r>
              <w:rPr>
                <w:rFonts w:hint="eastAsia" w:ascii="仿宋" w:hAnsi="仿宋" w:eastAsia="仿宋" w:cs="仿宋"/>
                <w:sz w:val="24"/>
                <w:szCs w:val="24"/>
                <w:highlight w:val="none"/>
              </w:rPr>
              <w:t>级守合同重信用企业的，得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上一年度为省级守合同重信用企业的，得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14:paraId="40258558">
            <w:pPr>
              <w:widowControl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提供证书原件扫描件并加盖投标人公章，否则不计分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p w14:paraId="5B1D8EFD">
            <w:pPr>
              <w:widowControl w:val="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3.投标人上一年度获得省级自然资源劳动技能竞赛奖项的，得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bookmarkStart w:id="0" w:name="_GoBack"/>
            <w:bookmarkEnd w:id="0"/>
          </w:p>
          <w:p w14:paraId="08A69491">
            <w:pPr>
              <w:widowControl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提供证书原件扫描件并加盖投标人公章，否则不计分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14:paraId="07984E6B">
            <w:pPr>
              <w:widowControl w:val="0"/>
              <w:numPr>
                <w:ilvl w:val="0"/>
                <w:numId w:val="1"/>
              </w:num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val="en-US" w:eastAsia="zh-CN"/>
              </w:rPr>
              <w:t>取得国家版权局颁发的工程勘测规划系统、土地规划GIS系统、农田水利工程设计软件等相关的计算机软件著作权等级证书的，每个得2分，最多8分；</w:t>
            </w:r>
          </w:p>
          <w:p w14:paraId="7F02DA40">
            <w:pPr>
              <w:widowControl w:val="0"/>
              <w:numPr>
                <w:ilvl w:val="0"/>
                <w:numId w:val="0"/>
              </w:num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提供证书原件扫描件并加盖投标人公章，否则不计分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p w14:paraId="53818428">
            <w:pPr>
              <w:rPr>
                <w:rFonts w:hint="eastAsia" w:ascii="仿宋" w:hAnsi="仿宋" w:eastAsia="仿宋" w:cs="仿宋"/>
                <w:sz w:val="24"/>
                <w:szCs w:val="24"/>
                <w:highlight w:val="none"/>
                <w:lang w:val="en-US" w:eastAsia="zh-CN"/>
              </w:rPr>
            </w:pPr>
          </w:p>
        </w:tc>
      </w:tr>
      <w:tr w14:paraId="6D0C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533" w:type="dxa"/>
            <w:vMerge w:val="continue"/>
            <w:noWrap w:val="0"/>
            <w:vAlign w:val="center"/>
          </w:tcPr>
          <w:p w14:paraId="44147191">
            <w:pPr>
              <w:widowControl w:val="0"/>
              <w:jc w:val="both"/>
              <w:rPr>
                <w:rFonts w:hint="eastAsia" w:ascii="仿宋" w:hAnsi="仿宋" w:eastAsia="仿宋" w:cs="仿宋"/>
                <w:sz w:val="24"/>
                <w:szCs w:val="24"/>
                <w:highlight w:val="none"/>
              </w:rPr>
            </w:pPr>
          </w:p>
        </w:tc>
        <w:tc>
          <w:tcPr>
            <w:tcW w:w="1105" w:type="dxa"/>
            <w:vMerge w:val="continue"/>
            <w:noWrap w:val="0"/>
            <w:vAlign w:val="center"/>
          </w:tcPr>
          <w:p w14:paraId="15532593">
            <w:pPr>
              <w:widowControl w:val="0"/>
              <w:jc w:val="both"/>
              <w:rPr>
                <w:rFonts w:hint="eastAsia" w:ascii="仿宋" w:hAnsi="仿宋" w:eastAsia="仿宋" w:cs="仿宋"/>
                <w:sz w:val="24"/>
                <w:szCs w:val="24"/>
                <w:highlight w:val="none"/>
              </w:rPr>
            </w:pPr>
          </w:p>
        </w:tc>
        <w:tc>
          <w:tcPr>
            <w:tcW w:w="1020" w:type="dxa"/>
            <w:shd w:val="clear" w:color="auto" w:fill="auto"/>
            <w:noWrap w:val="0"/>
            <w:vAlign w:val="center"/>
          </w:tcPr>
          <w:p w14:paraId="46B01366">
            <w:pPr>
              <w:widowControl w:val="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项目团队</w:t>
            </w:r>
          </w:p>
        </w:tc>
        <w:tc>
          <w:tcPr>
            <w:tcW w:w="750" w:type="dxa"/>
            <w:shd w:val="clear" w:color="auto" w:fill="auto"/>
            <w:noWrap w:val="0"/>
            <w:vAlign w:val="center"/>
          </w:tcPr>
          <w:p w14:paraId="680F57D4">
            <w:pPr>
              <w:widowControl w:val="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6018" w:type="dxa"/>
            <w:shd w:val="clear" w:color="auto" w:fill="auto"/>
            <w:noWrap w:val="0"/>
            <w:vAlign w:val="center"/>
          </w:tcPr>
          <w:p w14:paraId="450A4BA2">
            <w:pPr>
              <w:rPr>
                <w:rFonts w:hint="eastAsia" w:ascii="仿宋" w:hAnsi="仿宋" w:eastAsia="仿宋" w:cs="仿宋"/>
                <w:color w:val="000000"/>
                <w:sz w:val="24"/>
                <w:szCs w:val="24"/>
              </w:rPr>
            </w:pPr>
            <w:r>
              <w:rPr>
                <w:rFonts w:hint="eastAsia" w:ascii="仿宋" w:hAnsi="仿宋" w:eastAsia="仿宋" w:cs="仿宋"/>
                <w:sz w:val="24"/>
                <w:szCs w:val="24"/>
                <w:highlight w:val="none"/>
              </w:rPr>
              <w:t>1、</w:t>
            </w:r>
            <w:r>
              <w:rPr>
                <w:rFonts w:hint="eastAsia" w:ascii="仿宋" w:hAnsi="仿宋" w:eastAsia="仿宋" w:cs="仿宋"/>
                <w:color w:val="000000"/>
                <w:sz w:val="24"/>
                <w:szCs w:val="24"/>
                <w:lang w:val="en-US" w:eastAsia="zh-CN"/>
              </w:rPr>
              <w:t>投标人项目实施团队人员具有土地（资源）管理、土地工程、测绘（测量）、市政工程等专业</w:t>
            </w:r>
            <w:r>
              <w:rPr>
                <w:rFonts w:hint="eastAsia" w:ascii="仿宋" w:hAnsi="仿宋" w:eastAsia="仿宋" w:cs="仿宋"/>
                <w:color w:val="000000"/>
                <w:sz w:val="24"/>
                <w:szCs w:val="24"/>
              </w:rPr>
              <w:t>中级工程师</w:t>
            </w:r>
            <w:r>
              <w:rPr>
                <w:rFonts w:hint="eastAsia" w:ascii="仿宋" w:hAnsi="仿宋" w:eastAsia="仿宋" w:cs="仿宋"/>
                <w:color w:val="000000"/>
                <w:sz w:val="24"/>
                <w:szCs w:val="24"/>
                <w:lang w:val="en-US" w:eastAsia="zh-CN"/>
              </w:rPr>
              <w:t>及</w:t>
            </w:r>
            <w:r>
              <w:rPr>
                <w:rFonts w:hint="eastAsia" w:ascii="仿宋" w:hAnsi="仿宋" w:eastAsia="仿宋" w:cs="仿宋"/>
                <w:color w:val="000000"/>
                <w:sz w:val="24"/>
                <w:szCs w:val="24"/>
              </w:rPr>
              <w:t>以上职称证的，每提供一个</w:t>
            </w:r>
            <w:r>
              <w:rPr>
                <w:rFonts w:hint="eastAsia" w:ascii="仿宋" w:hAnsi="仿宋" w:eastAsia="仿宋" w:cs="仿宋"/>
                <w:color w:val="000000"/>
                <w:sz w:val="24"/>
                <w:szCs w:val="24"/>
                <w:lang w:val="en-US" w:eastAsia="zh-CN"/>
              </w:rPr>
              <w:t>中级</w:t>
            </w:r>
            <w:r>
              <w:rPr>
                <w:rFonts w:hint="eastAsia" w:ascii="仿宋" w:hAnsi="仿宋" w:eastAsia="仿宋" w:cs="仿宋"/>
                <w:color w:val="000000"/>
                <w:sz w:val="24"/>
                <w:szCs w:val="24"/>
              </w:rPr>
              <w:t>工程师计</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分，最多计</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14:paraId="760CD6F7">
            <w:pPr>
              <w:widowControl w:val="0"/>
              <w:jc w:val="both"/>
              <w:rPr>
                <w:rFonts w:hint="eastAsia" w:ascii="仿宋" w:hAnsi="仿宋" w:eastAsia="仿宋" w:cs="仿宋"/>
                <w:sz w:val="24"/>
                <w:szCs w:val="24"/>
                <w:highlight w:val="none"/>
                <w:lang w:val="en-US" w:eastAsia="zh-CN" w:bidi="ar-SA"/>
              </w:rPr>
            </w:pPr>
            <w:r>
              <w:rPr>
                <w:rFonts w:hint="eastAsia" w:ascii="仿宋" w:hAnsi="仿宋" w:eastAsia="仿宋" w:cs="仿宋"/>
                <w:b w:val="0"/>
                <w:bCs w:val="0"/>
                <w:color w:val="000000"/>
                <w:sz w:val="24"/>
                <w:szCs w:val="24"/>
              </w:rPr>
              <w:t>注：须提供</w:t>
            </w:r>
            <w:r>
              <w:rPr>
                <w:rFonts w:hint="eastAsia" w:ascii="仿宋" w:hAnsi="仿宋" w:eastAsia="仿宋" w:cs="仿宋"/>
                <w:b w:val="0"/>
                <w:bCs w:val="0"/>
                <w:color w:val="000000"/>
                <w:sz w:val="24"/>
                <w:szCs w:val="24"/>
                <w:lang w:val="en-US" w:eastAsia="zh-CN"/>
              </w:rPr>
              <w:t>身份证、</w:t>
            </w:r>
            <w:r>
              <w:rPr>
                <w:rFonts w:hint="eastAsia" w:ascii="仿宋" w:hAnsi="仿宋" w:eastAsia="仿宋" w:cs="仿宋"/>
                <w:b w:val="0"/>
                <w:bCs w:val="0"/>
                <w:color w:val="000000"/>
                <w:sz w:val="24"/>
                <w:szCs w:val="24"/>
              </w:rPr>
              <w:t>职称证及</w:t>
            </w:r>
            <w:r>
              <w:rPr>
                <w:rFonts w:hint="eastAsia" w:ascii="仿宋" w:hAnsi="仿宋" w:eastAsia="仿宋" w:cs="仿宋"/>
                <w:b w:val="0"/>
                <w:bCs w:val="0"/>
                <w:color w:val="000000"/>
                <w:sz w:val="24"/>
                <w:szCs w:val="24"/>
                <w:lang w:val="en-US" w:eastAsia="zh-CN"/>
              </w:rPr>
              <w:t>近三个月</w:t>
            </w:r>
            <w:r>
              <w:rPr>
                <w:rFonts w:hint="eastAsia" w:ascii="仿宋" w:hAnsi="仿宋" w:eastAsia="仿宋" w:cs="仿宋"/>
                <w:b w:val="0"/>
                <w:bCs w:val="0"/>
                <w:color w:val="000000"/>
                <w:sz w:val="24"/>
                <w:szCs w:val="24"/>
              </w:rPr>
              <w:t>的社保证明</w:t>
            </w:r>
            <w:r>
              <w:rPr>
                <w:rFonts w:hint="eastAsia" w:ascii="仿宋" w:hAnsi="仿宋" w:eastAsia="仿宋" w:cs="仿宋"/>
                <w:b w:val="0"/>
                <w:bCs w:val="0"/>
                <w:color w:val="000000"/>
                <w:sz w:val="24"/>
                <w:szCs w:val="24"/>
                <w:lang w:val="en-US" w:eastAsia="zh-CN"/>
              </w:rPr>
              <w:t>，否则不计分</w:t>
            </w:r>
            <w:r>
              <w:rPr>
                <w:rFonts w:hint="eastAsia" w:ascii="仿宋" w:hAnsi="仿宋" w:eastAsia="仿宋" w:cs="仿宋"/>
                <w:b w:val="0"/>
                <w:bCs w:val="0"/>
                <w:color w:val="000000"/>
                <w:sz w:val="24"/>
                <w:szCs w:val="24"/>
              </w:rPr>
              <w:t>。</w:t>
            </w:r>
          </w:p>
        </w:tc>
      </w:tr>
      <w:tr w14:paraId="313F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3" w:type="dxa"/>
            <w:noWrap w:val="0"/>
            <w:vAlign w:val="center"/>
          </w:tcPr>
          <w:p w14:paraId="282DB321">
            <w:pPr>
              <w:widowControl w:val="0"/>
              <w:jc w:val="both"/>
              <w:rPr>
                <w:rFonts w:hint="eastAsia" w:ascii="仿宋" w:hAnsi="仿宋" w:eastAsia="仿宋" w:cs="仿宋"/>
                <w:sz w:val="24"/>
                <w:szCs w:val="24"/>
                <w:highlight w:val="none"/>
              </w:rPr>
            </w:pPr>
          </w:p>
        </w:tc>
        <w:tc>
          <w:tcPr>
            <w:tcW w:w="1105" w:type="dxa"/>
            <w:noWrap w:val="0"/>
            <w:vAlign w:val="center"/>
          </w:tcPr>
          <w:p w14:paraId="20EC05F6">
            <w:pPr>
              <w:widowControl w:val="0"/>
              <w:jc w:val="both"/>
              <w:rPr>
                <w:rFonts w:hint="eastAsia" w:ascii="仿宋" w:hAnsi="仿宋" w:eastAsia="仿宋" w:cs="仿宋"/>
                <w:sz w:val="24"/>
                <w:szCs w:val="24"/>
                <w:highlight w:val="none"/>
              </w:rPr>
            </w:pPr>
          </w:p>
        </w:tc>
        <w:tc>
          <w:tcPr>
            <w:tcW w:w="1020" w:type="dxa"/>
            <w:noWrap w:val="0"/>
            <w:vAlign w:val="center"/>
          </w:tcPr>
          <w:p w14:paraId="771BF2E6">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750" w:type="dxa"/>
            <w:noWrap w:val="0"/>
            <w:vAlign w:val="center"/>
          </w:tcPr>
          <w:p w14:paraId="132FBDA5">
            <w:pPr>
              <w:widowControl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100分</w:t>
            </w:r>
          </w:p>
        </w:tc>
        <w:tc>
          <w:tcPr>
            <w:tcW w:w="6018" w:type="dxa"/>
            <w:noWrap w:val="0"/>
            <w:vAlign w:val="center"/>
          </w:tcPr>
          <w:p w14:paraId="71E7078C">
            <w:pPr>
              <w:widowControl w:val="0"/>
              <w:jc w:val="both"/>
              <w:rPr>
                <w:rFonts w:hint="eastAsia" w:ascii="仿宋" w:hAnsi="仿宋" w:eastAsia="仿宋" w:cs="仿宋"/>
                <w:sz w:val="24"/>
                <w:szCs w:val="24"/>
                <w:highlight w:val="none"/>
              </w:rPr>
            </w:pPr>
          </w:p>
        </w:tc>
      </w:tr>
    </w:tbl>
    <w:p w14:paraId="64172D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31979"/>
    <w:multiLevelType w:val="singleLevel"/>
    <w:tmpl w:val="96B3197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YWRmZTk0YzJhZmM2MWNlNGE4MjM2YWYyMGY0YzUifQ=="/>
  </w:docVars>
  <w:rsids>
    <w:rsidRoot w:val="00000000"/>
    <w:rsid w:val="08D627BB"/>
    <w:rsid w:val="0BAC28B7"/>
    <w:rsid w:val="0CBB22B7"/>
    <w:rsid w:val="1076333A"/>
    <w:rsid w:val="1F704006"/>
    <w:rsid w:val="2DCD2695"/>
    <w:rsid w:val="3009361A"/>
    <w:rsid w:val="391A72EC"/>
    <w:rsid w:val="3D951F65"/>
    <w:rsid w:val="4EB54D0C"/>
    <w:rsid w:val="5B6B1DCC"/>
    <w:rsid w:val="61AC2EA4"/>
    <w:rsid w:val="636C6215"/>
    <w:rsid w:val="644F0FB6"/>
    <w:rsid w:val="684C0367"/>
    <w:rsid w:val="68725BBA"/>
    <w:rsid w:val="6FF11ABB"/>
    <w:rsid w:val="73E870A7"/>
    <w:rsid w:val="7B46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Calibri"/>
      <w:sz w:val="24"/>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eastAsia="Times New Roman" w:cs="Arial"/>
      <w:b/>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Body Text Indent 2"/>
    <w:basedOn w:val="1"/>
    <w:next w:val="5"/>
    <w:qFormat/>
    <w:uiPriority w:val="0"/>
    <w:pPr>
      <w:spacing w:after="120" w:line="480" w:lineRule="auto"/>
      <w:ind w:left="420" w:leftChars="200"/>
    </w:pPr>
    <w:rPr>
      <w:rFonts w:ascii="Times New Roman" w:hAnsi="Times New Roman" w:eastAsia="宋体" w:cs="Times New Roman"/>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Body Text First Indent 2"/>
    <w:basedOn w:val="3"/>
    <w:next w:val="1"/>
    <w:unhideWhenUsed/>
    <w:qFormat/>
    <w:uiPriority w:val="99"/>
    <w:pPr>
      <w:widowControl w:val="0"/>
      <w:spacing w:after="120"/>
      <w:ind w:left="420" w:leftChars="200" w:firstLine="420" w:firstLineChars="200"/>
      <w:jc w:val="both"/>
    </w:pPr>
    <w:rPr>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1227</Words>
  <Characters>1262</Characters>
  <Lines>0</Lines>
  <Paragraphs>0</Paragraphs>
  <TotalTime>9</TotalTime>
  <ScaleCrop>false</ScaleCrop>
  <LinksUpToDate>false</LinksUpToDate>
  <CharactersWithSpaces>1263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2023-03-14T04:46:00Z</dcterms:created>
  <dc:creator>熊百范</dc:creator>
  <cp:lastModifiedBy>梦想陀螺</cp:lastModifiedBy>
  <dcterms:modified xsi:type="dcterms:W3CDTF">2025-04-15T09:21:34Z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54477ECFBAB64AD49E131635083DA774_13</vt:lpwstr>
  </property>
  <property fmtid="{D5CDD505-2E9C-101B-9397-08002B2CF9AE}" pid="4" name="KSOTemplateDocerSaveRecord">
    <vt:lpwstr>eyJoZGlkIjoiYzg4OTc5OWRhNWUyYWFiMzczMTYxM2NmNzM1ODkxZTUiLCJ1c2VySWQiOiIzMjc1NTU4ODMifQ==</vt:lpwstr>
  </property>
</Properties>
</file>